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49C48" w14:textId="77777777" w:rsidR="00BE023A" w:rsidRDefault="00000000">
      <w:pPr>
        <w:ind w:firstLineChars="200" w:firstLine="880"/>
        <w:rPr>
          <w:rFonts w:ascii="方正公文小标宋" w:eastAsia="方正公文小标宋" w:hAnsi="方正公文小标宋" w:cs="方正公文小标宋" w:hint="eastAsia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茅台学院实验班大学英语考试大纲</w:t>
      </w:r>
    </w:p>
    <w:p w14:paraId="1EBDA0AC" w14:textId="77777777" w:rsidR="00BE023A" w:rsidRDefault="00BE023A">
      <w:pPr>
        <w:rPr>
          <w:rFonts w:ascii="方正仿宋_GB2312" w:eastAsia="方正仿宋_GB2312" w:hAnsi="方正仿宋_GB2312" w:cs="方正仿宋_GB2312" w:hint="eastAsia"/>
          <w:sz w:val="32"/>
          <w:szCs w:val="32"/>
        </w:rPr>
      </w:pPr>
    </w:p>
    <w:p w14:paraId="63E25C6A" w14:textId="77777777" w:rsidR="00BE023A" w:rsidRPr="00F3120C" w:rsidRDefault="00000000">
      <w:pPr>
        <w:rPr>
          <w:rFonts w:ascii="楷体_GB2312" w:eastAsia="楷体_GB2312" w:hAnsi="黑体" w:cs="黑体" w:hint="eastAsia"/>
          <w:b/>
          <w:bCs/>
          <w:sz w:val="32"/>
          <w:szCs w:val="32"/>
        </w:rPr>
      </w:pPr>
      <w:r w:rsidRPr="00F3120C">
        <w:rPr>
          <w:rFonts w:ascii="楷体_GB2312" w:eastAsia="楷体_GB2312" w:hAnsi="黑体" w:cs="黑体" w:hint="eastAsia"/>
          <w:b/>
          <w:bCs/>
          <w:sz w:val="32"/>
          <w:szCs w:val="32"/>
        </w:rPr>
        <w:t>一、考试目的</w:t>
      </w:r>
    </w:p>
    <w:p w14:paraId="30ACE4DE" w14:textId="59D335F3" w:rsidR="00BE023A" w:rsidRPr="00AF67E3" w:rsidRDefault="00000000" w:rsidP="00F3120C">
      <w:pPr>
        <w:ind w:firstLineChars="200" w:firstLine="640"/>
        <w:rPr>
          <w:rFonts w:ascii="仿宋_GB2312" w:eastAsia="仿宋_GB2312" w:hAnsi="方正仿宋_GB2312" w:cs="方正仿宋_GB2312" w:hint="eastAsia"/>
          <w:sz w:val="32"/>
          <w:szCs w:val="32"/>
        </w:rPr>
      </w:pPr>
      <w:proofErr w:type="gramStart"/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本考试</w:t>
      </w:r>
      <w:proofErr w:type="gramEnd"/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大纲旨在评估茅台学院一年级学生在经过一年英语学习后，是否具备进入茅台实验班所需的语言综合运用能力，特别是阅读理解、写作表达、听力理解和英汉互译四个核心技能。通过本考试选拔出英语基础扎实、语言运用能力强、具备进一步深造潜力的学生进入实验班进行深入学习</w:t>
      </w:r>
      <w:r w:rsidR="00BB4B9A">
        <w:rPr>
          <w:rFonts w:ascii="仿宋_GB2312" w:eastAsia="仿宋_GB2312" w:hAnsi="方正仿宋_GB2312" w:cs="方正仿宋_GB2312" w:hint="eastAsia"/>
          <w:sz w:val="32"/>
          <w:szCs w:val="32"/>
        </w:rPr>
        <w:t>，</w:t>
      </w:r>
      <w:r w:rsidR="00AF67E3" w:rsidRPr="00F3120C">
        <w:rPr>
          <w:rFonts w:ascii="仿宋_GB2312" w:eastAsia="仿宋_GB2312" w:hAnsi="方正仿宋_GB2312" w:cs="方正仿宋_GB2312" w:hint="eastAsia"/>
          <w:sz w:val="32"/>
          <w:szCs w:val="32"/>
        </w:rPr>
        <w:t>同时也为学生提供明确的学习导向。</w:t>
      </w:r>
    </w:p>
    <w:p w14:paraId="5257DBCC" w14:textId="77777777" w:rsidR="00F3120C" w:rsidRDefault="00F3120C" w:rsidP="00F3120C">
      <w:pPr>
        <w:rPr>
          <w:rFonts w:ascii="楷体_GB2312" w:eastAsia="楷体_GB2312" w:hAnsi="黑体" w:cs="黑体"/>
          <w:b/>
          <w:bCs/>
          <w:sz w:val="32"/>
          <w:szCs w:val="32"/>
        </w:rPr>
      </w:pPr>
    </w:p>
    <w:p w14:paraId="0A16A657" w14:textId="06B113F9" w:rsidR="00BE023A" w:rsidRPr="00F3120C" w:rsidRDefault="00F3120C" w:rsidP="00F3120C">
      <w:pPr>
        <w:rPr>
          <w:rFonts w:ascii="楷体_GB2312" w:eastAsia="楷体_GB2312" w:hAnsi="黑体" w:cs="黑体" w:hint="eastAsia"/>
          <w:b/>
          <w:bCs/>
          <w:sz w:val="32"/>
          <w:szCs w:val="32"/>
        </w:rPr>
      </w:pPr>
      <w:r>
        <w:rPr>
          <w:rFonts w:ascii="楷体_GB2312" w:eastAsia="楷体_GB2312" w:hAnsi="黑体" w:cs="黑体" w:hint="eastAsia"/>
          <w:b/>
          <w:bCs/>
          <w:sz w:val="32"/>
          <w:szCs w:val="32"/>
        </w:rPr>
        <w:t>二、</w:t>
      </w:r>
      <w:r w:rsidR="00000000" w:rsidRPr="00F3120C">
        <w:rPr>
          <w:rFonts w:ascii="楷体_GB2312" w:eastAsia="楷体_GB2312" w:hAnsi="黑体" w:cs="黑体" w:hint="eastAsia"/>
          <w:b/>
          <w:bCs/>
          <w:sz w:val="32"/>
          <w:szCs w:val="32"/>
        </w:rPr>
        <w:t>考试题型及分值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5"/>
        <w:gridCol w:w="1065"/>
        <w:gridCol w:w="1065"/>
        <w:gridCol w:w="1065"/>
        <w:gridCol w:w="1549"/>
        <w:gridCol w:w="1186"/>
        <w:gridCol w:w="1159"/>
      </w:tblGrid>
      <w:tr w:rsidR="00BE023A" w:rsidRPr="00F3120C" w14:paraId="7C7167C8" w14:textId="77777777">
        <w:tc>
          <w:tcPr>
            <w:tcW w:w="1065" w:type="dxa"/>
            <w:vAlign w:val="center"/>
          </w:tcPr>
          <w:p w14:paraId="35166385" w14:textId="77777777" w:rsidR="00BE023A" w:rsidRPr="00F3120C" w:rsidRDefault="00BE023A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</w:p>
        </w:tc>
        <w:tc>
          <w:tcPr>
            <w:tcW w:w="1065" w:type="dxa"/>
            <w:vAlign w:val="center"/>
          </w:tcPr>
          <w:p w14:paraId="190D995F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写 作</w:t>
            </w:r>
          </w:p>
        </w:tc>
        <w:tc>
          <w:tcPr>
            <w:tcW w:w="1065" w:type="dxa"/>
            <w:vAlign w:val="center"/>
          </w:tcPr>
          <w:p w14:paraId="4B4E6DF5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听 力</w:t>
            </w:r>
          </w:p>
        </w:tc>
        <w:tc>
          <w:tcPr>
            <w:tcW w:w="1065" w:type="dxa"/>
            <w:vAlign w:val="center"/>
          </w:tcPr>
          <w:p w14:paraId="648CFBAE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阅 读</w:t>
            </w:r>
          </w:p>
        </w:tc>
        <w:tc>
          <w:tcPr>
            <w:tcW w:w="1549" w:type="dxa"/>
            <w:vAlign w:val="center"/>
          </w:tcPr>
          <w:p w14:paraId="275ED789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完型填空</w:t>
            </w:r>
          </w:p>
        </w:tc>
        <w:tc>
          <w:tcPr>
            <w:tcW w:w="1186" w:type="dxa"/>
            <w:vAlign w:val="center"/>
          </w:tcPr>
          <w:p w14:paraId="60BBE4F9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翻 译</w:t>
            </w:r>
          </w:p>
        </w:tc>
        <w:tc>
          <w:tcPr>
            <w:tcW w:w="1159" w:type="dxa"/>
            <w:vAlign w:val="center"/>
          </w:tcPr>
          <w:p w14:paraId="335B13E2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合计</w:t>
            </w:r>
          </w:p>
        </w:tc>
      </w:tr>
      <w:tr w:rsidR="00BE023A" w:rsidRPr="00F3120C" w14:paraId="296293C8" w14:textId="77777777">
        <w:tc>
          <w:tcPr>
            <w:tcW w:w="1065" w:type="dxa"/>
            <w:vAlign w:val="center"/>
          </w:tcPr>
          <w:p w14:paraId="074ED9F7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时间</w:t>
            </w:r>
          </w:p>
        </w:tc>
        <w:tc>
          <w:tcPr>
            <w:tcW w:w="1065" w:type="dxa"/>
            <w:vAlign w:val="center"/>
          </w:tcPr>
          <w:p w14:paraId="114A67E1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30m</w:t>
            </w:r>
          </w:p>
        </w:tc>
        <w:tc>
          <w:tcPr>
            <w:tcW w:w="1065" w:type="dxa"/>
            <w:vAlign w:val="center"/>
          </w:tcPr>
          <w:p w14:paraId="74F6681F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25m</w:t>
            </w:r>
          </w:p>
        </w:tc>
        <w:tc>
          <w:tcPr>
            <w:tcW w:w="1065" w:type="dxa"/>
            <w:vAlign w:val="center"/>
          </w:tcPr>
          <w:p w14:paraId="7713FE53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35m</w:t>
            </w:r>
          </w:p>
        </w:tc>
        <w:tc>
          <w:tcPr>
            <w:tcW w:w="1549" w:type="dxa"/>
            <w:vAlign w:val="center"/>
          </w:tcPr>
          <w:p w14:paraId="1B56EE22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15m</w:t>
            </w:r>
          </w:p>
        </w:tc>
        <w:tc>
          <w:tcPr>
            <w:tcW w:w="1186" w:type="dxa"/>
            <w:vAlign w:val="center"/>
          </w:tcPr>
          <w:p w14:paraId="2AAE5466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15m</w:t>
            </w:r>
          </w:p>
        </w:tc>
        <w:tc>
          <w:tcPr>
            <w:tcW w:w="1159" w:type="dxa"/>
            <w:vAlign w:val="center"/>
          </w:tcPr>
          <w:p w14:paraId="024BF751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120m</w:t>
            </w:r>
          </w:p>
        </w:tc>
      </w:tr>
      <w:tr w:rsidR="00BE023A" w:rsidRPr="00F3120C" w14:paraId="2D72B925" w14:textId="77777777">
        <w:tc>
          <w:tcPr>
            <w:tcW w:w="1065" w:type="dxa"/>
            <w:vAlign w:val="center"/>
          </w:tcPr>
          <w:p w14:paraId="29B005C7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数量</w:t>
            </w:r>
          </w:p>
        </w:tc>
        <w:tc>
          <w:tcPr>
            <w:tcW w:w="1065" w:type="dxa"/>
            <w:vAlign w:val="center"/>
          </w:tcPr>
          <w:p w14:paraId="08D214DD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</w:t>
            </w:r>
          </w:p>
        </w:tc>
        <w:tc>
          <w:tcPr>
            <w:tcW w:w="1065" w:type="dxa"/>
            <w:vAlign w:val="center"/>
          </w:tcPr>
          <w:p w14:paraId="41230BD5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25</w:t>
            </w:r>
          </w:p>
        </w:tc>
        <w:tc>
          <w:tcPr>
            <w:tcW w:w="1065" w:type="dxa"/>
            <w:vAlign w:val="center"/>
          </w:tcPr>
          <w:p w14:paraId="202EA70E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20</w:t>
            </w:r>
          </w:p>
        </w:tc>
        <w:tc>
          <w:tcPr>
            <w:tcW w:w="1549" w:type="dxa"/>
            <w:vAlign w:val="center"/>
          </w:tcPr>
          <w:p w14:paraId="007F808A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10</w:t>
            </w:r>
          </w:p>
        </w:tc>
        <w:tc>
          <w:tcPr>
            <w:tcW w:w="1186" w:type="dxa"/>
            <w:vAlign w:val="center"/>
          </w:tcPr>
          <w:p w14:paraId="5236DE6F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2</w:t>
            </w:r>
          </w:p>
        </w:tc>
        <w:tc>
          <w:tcPr>
            <w:tcW w:w="1159" w:type="dxa"/>
            <w:vAlign w:val="center"/>
          </w:tcPr>
          <w:p w14:paraId="2923EC2D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58</w:t>
            </w:r>
          </w:p>
        </w:tc>
      </w:tr>
      <w:tr w:rsidR="00BE023A" w:rsidRPr="00F3120C" w14:paraId="738E5D68" w14:textId="77777777">
        <w:tc>
          <w:tcPr>
            <w:tcW w:w="1065" w:type="dxa"/>
            <w:vAlign w:val="center"/>
          </w:tcPr>
          <w:p w14:paraId="7220564B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分数</w:t>
            </w:r>
          </w:p>
        </w:tc>
        <w:tc>
          <w:tcPr>
            <w:tcW w:w="1065" w:type="dxa"/>
            <w:vAlign w:val="center"/>
          </w:tcPr>
          <w:p w14:paraId="2381BFDF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15</w:t>
            </w:r>
          </w:p>
        </w:tc>
        <w:tc>
          <w:tcPr>
            <w:tcW w:w="1065" w:type="dxa"/>
            <w:vAlign w:val="center"/>
          </w:tcPr>
          <w:p w14:paraId="4CF9298E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25</w:t>
            </w:r>
          </w:p>
        </w:tc>
        <w:tc>
          <w:tcPr>
            <w:tcW w:w="1065" w:type="dxa"/>
            <w:vAlign w:val="center"/>
          </w:tcPr>
          <w:p w14:paraId="0D8072AB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40</w:t>
            </w:r>
          </w:p>
        </w:tc>
        <w:tc>
          <w:tcPr>
            <w:tcW w:w="1549" w:type="dxa"/>
            <w:vAlign w:val="center"/>
          </w:tcPr>
          <w:p w14:paraId="5CEE20BA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10</w:t>
            </w:r>
          </w:p>
        </w:tc>
        <w:tc>
          <w:tcPr>
            <w:tcW w:w="1186" w:type="dxa"/>
            <w:vAlign w:val="center"/>
          </w:tcPr>
          <w:p w14:paraId="0B8BE66D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10</w:t>
            </w:r>
          </w:p>
        </w:tc>
        <w:tc>
          <w:tcPr>
            <w:tcW w:w="1159" w:type="dxa"/>
            <w:vAlign w:val="center"/>
          </w:tcPr>
          <w:p w14:paraId="1F435210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100</w:t>
            </w:r>
          </w:p>
        </w:tc>
      </w:tr>
      <w:tr w:rsidR="00BE023A" w:rsidRPr="00F3120C" w14:paraId="3B694004" w14:textId="77777777">
        <w:tc>
          <w:tcPr>
            <w:tcW w:w="1065" w:type="dxa"/>
            <w:vAlign w:val="center"/>
          </w:tcPr>
          <w:p w14:paraId="15EF2225" w14:textId="77777777" w:rsidR="00BE023A" w:rsidRPr="00F3120C" w:rsidRDefault="00000000">
            <w:pPr>
              <w:ind w:firstLineChars="100" w:firstLine="320"/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%</w:t>
            </w:r>
          </w:p>
        </w:tc>
        <w:tc>
          <w:tcPr>
            <w:tcW w:w="1065" w:type="dxa"/>
            <w:vAlign w:val="center"/>
          </w:tcPr>
          <w:p w14:paraId="6493F110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15%</w:t>
            </w:r>
          </w:p>
        </w:tc>
        <w:tc>
          <w:tcPr>
            <w:tcW w:w="1065" w:type="dxa"/>
            <w:vAlign w:val="center"/>
          </w:tcPr>
          <w:p w14:paraId="4E1FC3C9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25%</w:t>
            </w:r>
          </w:p>
        </w:tc>
        <w:tc>
          <w:tcPr>
            <w:tcW w:w="1065" w:type="dxa"/>
            <w:vAlign w:val="center"/>
          </w:tcPr>
          <w:p w14:paraId="157DAB56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40%</w:t>
            </w:r>
          </w:p>
        </w:tc>
        <w:tc>
          <w:tcPr>
            <w:tcW w:w="1549" w:type="dxa"/>
            <w:vAlign w:val="center"/>
          </w:tcPr>
          <w:p w14:paraId="3596F0C8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10%</w:t>
            </w:r>
          </w:p>
        </w:tc>
        <w:tc>
          <w:tcPr>
            <w:tcW w:w="1186" w:type="dxa"/>
            <w:vAlign w:val="center"/>
          </w:tcPr>
          <w:p w14:paraId="1A1C6B80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10</w:t>
            </w:r>
          </w:p>
        </w:tc>
        <w:tc>
          <w:tcPr>
            <w:tcW w:w="1159" w:type="dxa"/>
            <w:vAlign w:val="center"/>
          </w:tcPr>
          <w:p w14:paraId="62187889" w14:textId="77777777" w:rsidR="00BE023A" w:rsidRPr="00F3120C" w:rsidRDefault="00000000">
            <w:pPr>
              <w:jc w:val="center"/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</w:pPr>
            <w:r w:rsidRPr="00F3120C">
              <w:rPr>
                <w:rFonts w:ascii="仿宋_GB2312" w:eastAsia="仿宋_GB2312" w:hAnsi="方正仿宋_GB2312" w:cs="方正仿宋_GB2312" w:hint="eastAsia"/>
                <w:sz w:val="32"/>
                <w:szCs w:val="32"/>
              </w:rPr>
              <w:t>100</w:t>
            </w:r>
          </w:p>
        </w:tc>
      </w:tr>
    </w:tbl>
    <w:p w14:paraId="540D58D0" w14:textId="77777777" w:rsidR="00BE023A" w:rsidRPr="00F3120C" w:rsidRDefault="00BE023A">
      <w:pPr>
        <w:rPr>
          <w:rFonts w:ascii="仿宋_GB2312" w:eastAsia="仿宋_GB2312" w:hAnsi="方正仿宋_GB2312" w:cs="方正仿宋_GB2312" w:hint="eastAsia"/>
          <w:sz w:val="32"/>
          <w:szCs w:val="32"/>
        </w:rPr>
      </w:pPr>
    </w:p>
    <w:p w14:paraId="1050CC6E" w14:textId="3874CAE0" w:rsidR="00BE023A" w:rsidRPr="00F3120C" w:rsidRDefault="00F3120C" w:rsidP="00F3120C">
      <w:pPr>
        <w:rPr>
          <w:rFonts w:ascii="楷体_GB2312" w:eastAsia="楷体_GB2312" w:hAnsi="黑体" w:cs="黑体" w:hint="eastAsia"/>
          <w:b/>
          <w:bCs/>
          <w:sz w:val="32"/>
          <w:szCs w:val="32"/>
        </w:rPr>
      </w:pPr>
      <w:r>
        <w:rPr>
          <w:rFonts w:ascii="楷体_GB2312" w:eastAsia="楷体_GB2312" w:hAnsi="黑体" w:cs="黑体" w:hint="eastAsia"/>
          <w:b/>
          <w:bCs/>
          <w:sz w:val="32"/>
          <w:szCs w:val="32"/>
        </w:rPr>
        <w:t>三、</w:t>
      </w:r>
      <w:r w:rsidR="00000000" w:rsidRPr="00F3120C">
        <w:rPr>
          <w:rFonts w:ascii="楷体_GB2312" w:eastAsia="楷体_GB2312" w:hAnsi="黑体" w:cs="黑体" w:hint="eastAsia"/>
          <w:b/>
          <w:bCs/>
          <w:sz w:val="32"/>
          <w:szCs w:val="32"/>
        </w:rPr>
        <w:t>考试内容与要求</w:t>
      </w:r>
    </w:p>
    <w:p w14:paraId="1B1F406E" w14:textId="77777777" w:rsidR="00BE023A" w:rsidRPr="00F3120C" w:rsidRDefault="00000000">
      <w:pPr>
        <w:rPr>
          <w:rFonts w:ascii="仿宋_GB2312" w:eastAsia="仿宋_GB2312" w:hAnsi="方正楷体_GB2312" w:cs="方正楷体_GB2312" w:hint="eastAsia"/>
          <w:sz w:val="32"/>
          <w:szCs w:val="32"/>
        </w:rPr>
      </w:pPr>
      <w:r w:rsidRPr="00F3120C">
        <w:rPr>
          <w:rFonts w:ascii="仿宋_GB2312" w:eastAsia="仿宋_GB2312" w:hAnsi="方正楷体_GB2312" w:cs="方正楷体_GB2312" w:hint="eastAsia"/>
          <w:sz w:val="32"/>
          <w:szCs w:val="32"/>
        </w:rPr>
        <w:t>1. 作文写作</w:t>
      </w:r>
    </w:p>
    <w:p w14:paraId="7FE6A9F1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 体裁类型：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议论文、说明文、叙述文等，要求根据给定话题或情境进行写作。</w:t>
      </w:r>
    </w:p>
    <w:p w14:paraId="2A36EA22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lastRenderedPageBreak/>
        <w:t xml:space="preserve">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 xml:space="preserve"> - 评分标准：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内容的相关性、逻辑性、创新性；语言的准确性、丰富性、得体性；篇章结构的合理性。</w:t>
      </w:r>
    </w:p>
    <w:p w14:paraId="7F494E35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 xml:space="preserve"> - 能力要求：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清晰表达观点，有效组织信息，恰当运用词汇和语法结构，体现较高的语言驾驭能力。</w:t>
      </w:r>
    </w:p>
    <w:p w14:paraId="221F7FFE" w14:textId="77777777" w:rsidR="00BE023A" w:rsidRPr="00F3120C" w:rsidRDefault="00000000">
      <w:pPr>
        <w:rPr>
          <w:rFonts w:ascii="仿宋_GB2312" w:eastAsia="仿宋_GB2312" w:hAnsi="方正楷体_GB2312" w:cs="方正楷体_GB2312" w:hint="eastAsia"/>
          <w:sz w:val="32"/>
          <w:szCs w:val="32"/>
        </w:rPr>
      </w:pPr>
      <w:r w:rsidRPr="00F3120C">
        <w:rPr>
          <w:rFonts w:ascii="仿宋_GB2312" w:eastAsia="仿宋_GB2312" w:hAnsi="方正楷体_GB2312" w:cs="方正楷体_GB2312" w:hint="eastAsia"/>
          <w:sz w:val="32"/>
          <w:szCs w:val="32"/>
        </w:rPr>
        <w:t>2. 听力理解</w:t>
      </w:r>
    </w:p>
    <w:p w14:paraId="5FAFDF10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 材料来源：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生活对话、新闻广播、访谈、讨论会等真实语境下的录音材料。</w:t>
      </w:r>
    </w:p>
    <w:p w14:paraId="3CB49D9F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 xml:space="preserve"> - 题型设计：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选择题、细节理解题等，测试学生对语音、语调、词汇及文化背景的理解。</w:t>
      </w:r>
    </w:p>
    <w:p w14:paraId="0FF02455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 能力要求：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快速捕捉听力材料中的关键信息，理解讲话者的意图、态度及细节，具备在不同口音和语速下的适应能力。</w:t>
      </w:r>
    </w:p>
    <w:p w14:paraId="576543C9" w14:textId="77777777" w:rsidR="00BE023A" w:rsidRPr="00F3120C" w:rsidRDefault="00000000">
      <w:pPr>
        <w:numPr>
          <w:ilvl w:val="0"/>
          <w:numId w:val="2"/>
        </w:numPr>
        <w:rPr>
          <w:rFonts w:ascii="仿宋_GB2312" w:eastAsia="仿宋_GB2312" w:hAnsi="方正楷体_GB2312" w:cs="方正楷体_GB2312" w:hint="eastAsia"/>
          <w:sz w:val="32"/>
          <w:szCs w:val="32"/>
        </w:rPr>
      </w:pPr>
      <w:r w:rsidRPr="00F3120C">
        <w:rPr>
          <w:rFonts w:ascii="仿宋_GB2312" w:eastAsia="仿宋_GB2312" w:hAnsi="方正楷体_GB2312" w:cs="方正楷体_GB2312" w:hint="eastAsia"/>
          <w:sz w:val="32"/>
          <w:szCs w:val="32"/>
        </w:rPr>
        <w:t>阅读理解</w:t>
      </w:r>
    </w:p>
    <w:p w14:paraId="2D49C7F4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 xml:space="preserve">  -题材范围：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涵盖科技、文化、社会、经济、历史等多个领域，注重时效性与深度。</w:t>
      </w:r>
    </w:p>
    <w:p w14:paraId="2DE3BF8A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-题型设置：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包括多项选择题、简答题和判断题等，要求准确理解文章主旨、细节及作者态度。</w:t>
      </w:r>
    </w:p>
    <w:p w14:paraId="1184A75A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 xml:space="preserve"> - 能力要求：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快速捕捉关键信息，逻辑推理，批判性思维，以及对复杂文本的深度解读能力。</w:t>
      </w:r>
    </w:p>
    <w:p w14:paraId="5597C250" w14:textId="77777777" w:rsidR="00BE023A" w:rsidRPr="00F3120C" w:rsidRDefault="00000000">
      <w:pPr>
        <w:numPr>
          <w:ilvl w:val="0"/>
          <w:numId w:val="2"/>
        </w:numPr>
        <w:rPr>
          <w:rFonts w:ascii="仿宋_GB2312" w:eastAsia="仿宋_GB2312" w:hAnsi="方正楷体_GB2312" w:cs="方正楷体_GB2312" w:hint="eastAsia"/>
          <w:sz w:val="32"/>
          <w:szCs w:val="32"/>
        </w:rPr>
      </w:pPr>
      <w:r w:rsidRPr="00F3120C">
        <w:rPr>
          <w:rFonts w:ascii="仿宋_GB2312" w:eastAsia="仿宋_GB2312" w:hAnsi="方正楷体_GB2312" w:cs="方正楷体_GB2312" w:hint="eastAsia"/>
          <w:sz w:val="32"/>
          <w:szCs w:val="32"/>
        </w:rPr>
        <w:t>完形填空</w:t>
      </w:r>
    </w:p>
    <w:p w14:paraId="5AB57C52" w14:textId="77777777" w:rsidR="00BE023A" w:rsidRPr="00F3120C" w:rsidRDefault="00000000">
      <w:pPr>
        <w:ind w:firstLineChars="200" w:firstLine="643"/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-题材范围：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内容广泛，包含议论文、记叙文或说明文等，旨在考察学生对不同语境下英语的理解和综合应用能力。</w:t>
      </w:r>
    </w:p>
    <w:p w14:paraId="2E97E259" w14:textId="77777777" w:rsidR="00BE023A" w:rsidRPr="00F3120C" w:rsidRDefault="00000000">
      <w:pPr>
        <w:ind w:firstLineChars="200" w:firstLine="643"/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lastRenderedPageBreak/>
        <w:t>-题型设置：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完型填空部分的短文有10个空白，每个空白为一题，每题有四个选择项。要求考生选择一个最佳答案，使短文的意思和结构恢复完整。</w:t>
      </w:r>
    </w:p>
    <w:p w14:paraId="2D3EAEFF" w14:textId="77777777" w:rsidR="00BE023A" w:rsidRPr="00F3120C" w:rsidRDefault="00000000">
      <w:pPr>
        <w:ind w:firstLineChars="200" w:firstLine="643"/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-能力要求：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考察分析文章结构，理解各部分、各层次之间的逻辑关系，以便更准确地理解文章内容和填空选项；考察学生的语言基础知识，强调学生在语境中的综合运用能力，包括阅读、理解、推理和判断等多方面技能。</w:t>
      </w:r>
    </w:p>
    <w:p w14:paraId="2F8A418C" w14:textId="77777777" w:rsidR="00BE023A" w:rsidRPr="00F3120C" w:rsidRDefault="00000000">
      <w:pPr>
        <w:numPr>
          <w:ilvl w:val="0"/>
          <w:numId w:val="2"/>
        </w:numPr>
        <w:rPr>
          <w:rFonts w:ascii="仿宋_GB2312" w:eastAsia="仿宋_GB2312" w:hAnsi="方正楷体_GB2312" w:cs="方正楷体_GB2312" w:hint="eastAsia"/>
          <w:sz w:val="32"/>
          <w:szCs w:val="32"/>
        </w:rPr>
      </w:pPr>
      <w:r w:rsidRPr="00F3120C">
        <w:rPr>
          <w:rFonts w:ascii="仿宋_GB2312" w:eastAsia="仿宋_GB2312" w:hAnsi="方正楷体_GB2312" w:cs="方正楷体_GB2312" w:hint="eastAsia"/>
          <w:sz w:val="32"/>
          <w:szCs w:val="32"/>
        </w:rPr>
        <w:t>英汉互译</w:t>
      </w:r>
    </w:p>
    <w:p w14:paraId="56048B95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题型设计：英汉互译部分通常包含以下题型为段落翻译：</w:t>
      </w:r>
    </w:p>
    <w:p w14:paraId="1E8396BC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 汉译英段落：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给出一段中文文本，要求考生翻译成英文，注意保持原文的意思、风格和结构。</w:t>
      </w:r>
    </w:p>
    <w:p w14:paraId="4A12DB27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  </w:t>
      </w: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 xml:space="preserve"> - 英译汉段落：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提供一段英文文本，要求考生翻译成中文，同样需要确保译文的准确性、流畅性和完整性。</w:t>
      </w:r>
    </w:p>
    <w:p w14:paraId="32E9527C" w14:textId="77777777" w:rsidR="00BE023A" w:rsidRPr="00F3120C" w:rsidRDefault="00000000">
      <w:pPr>
        <w:ind w:firstLineChars="100" w:firstLine="321"/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-评价标准：</w:t>
      </w:r>
    </w:p>
    <w:p w14:paraId="1E9DD620" w14:textId="77777777" w:rsidR="00BE023A" w:rsidRPr="00F3120C" w:rsidRDefault="00000000">
      <w:pPr>
        <w:ind w:firstLineChars="100" w:firstLine="320"/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准确性：译文必须准确传达原文的意思，不得有误解、漏译或错译现象。</w:t>
      </w:r>
    </w:p>
    <w:p w14:paraId="3E79C2BB" w14:textId="77777777" w:rsidR="00BE023A" w:rsidRPr="00F3120C" w:rsidRDefault="00000000">
      <w:pPr>
        <w:ind w:firstLineChars="100" w:firstLine="320"/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流畅性：译文应通顺自然，符合目标语言的表达习惯，避免生硬直译或语法错误。</w:t>
      </w:r>
    </w:p>
    <w:p w14:paraId="7CF49DC2" w14:textId="77777777" w:rsidR="00BE023A" w:rsidRPr="00F3120C" w:rsidRDefault="00000000">
      <w:pPr>
        <w:ind w:firstLineChars="100" w:firstLine="320"/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完整性：译文应包含原文中的所有重要信息，不得遗漏关键内容。</w:t>
      </w:r>
    </w:p>
    <w:p w14:paraId="0C5C828C" w14:textId="77777777" w:rsidR="00BE023A" w:rsidRPr="00F3120C" w:rsidRDefault="00000000">
      <w:pPr>
        <w:ind w:firstLineChars="100" w:firstLine="321"/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b/>
          <w:bCs/>
          <w:sz w:val="32"/>
          <w:szCs w:val="32"/>
        </w:rPr>
        <w:t>-能力要求：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考生应具备扎实的英语基础，包括词汇、语法、句型和篇章结构等方面的知识，具备一定的跨文化交流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lastRenderedPageBreak/>
        <w:t>能力，了解英汉两种语言背后的文化差异和表达习惯，并掌握一定的翻译技巧，能够灵活地在英汉两种语言之间进行转换，理解并表达原文的深层含义和语境。</w:t>
      </w:r>
    </w:p>
    <w:p w14:paraId="200A9B47" w14:textId="77777777" w:rsidR="00F3120C" w:rsidRDefault="00F3120C">
      <w:pPr>
        <w:rPr>
          <w:rFonts w:ascii="仿宋_GB2312" w:eastAsia="仿宋_GB2312" w:hAnsi="黑体" w:cs="黑体"/>
          <w:sz w:val="32"/>
          <w:szCs w:val="32"/>
        </w:rPr>
      </w:pPr>
    </w:p>
    <w:p w14:paraId="1347D203" w14:textId="7397C26C" w:rsidR="00BE023A" w:rsidRPr="00F3120C" w:rsidRDefault="00000000">
      <w:pPr>
        <w:rPr>
          <w:rFonts w:ascii="楷体_GB2312" w:eastAsia="楷体_GB2312" w:hAnsi="黑体" w:cs="黑体" w:hint="eastAsia"/>
          <w:b/>
          <w:bCs/>
          <w:sz w:val="32"/>
          <w:szCs w:val="32"/>
        </w:rPr>
      </w:pPr>
      <w:r w:rsidRPr="00F3120C">
        <w:rPr>
          <w:rFonts w:ascii="楷体_GB2312" w:eastAsia="楷体_GB2312" w:hAnsi="黑体" w:cs="黑体" w:hint="eastAsia"/>
          <w:b/>
          <w:bCs/>
          <w:sz w:val="32"/>
          <w:szCs w:val="32"/>
        </w:rPr>
        <w:t>四、参考用书、学习资料及资源</w:t>
      </w:r>
    </w:p>
    <w:p w14:paraId="6559EF4F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1. 《新一代大学英语》综合教程（基础篇2、提高篇1）北京外语教学与研究出版社</w:t>
      </w:r>
    </w:p>
    <w:p w14:paraId="020046B2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2. 《全新版大学进阶英语视听说》（第2、3册）上海外语教育出版社</w:t>
      </w:r>
    </w:p>
    <w:p w14:paraId="19188156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3. 《大学英语长篇阅读》（上、下）复旦大学出版社</w:t>
      </w: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ab/>
      </w:r>
    </w:p>
    <w:p w14:paraId="15D21C87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4. 大学英语四级考试历年真题及模拟题</w:t>
      </w:r>
    </w:p>
    <w:p w14:paraId="19DACA84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5. 考研英语真题及模拟题</w:t>
      </w:r>
    </w:p>
    <w:p w14:paraId="516BC5E7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>6. U校园学习平台</w:t>
      </w:r>
    </w:p>
    <w:p w14:paraId="1F9EDC4D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 xml:space="preserve">7、welearn学习平台 </w:t>
      </w:r>
    </w:p>
    <w:p w14:paraId="5B5A4E62" w14:textId="77777777" w:rsidR="00BE023A" w:rsidRPr="00F3120C" w:rsidRDefault="00000000">
      <w:pPr>
        <w:rPr>
          <w:rFonts w:ascii="仿宋_GB2312" w:eastAsia="仿宋_GB2312" w:hAnsi="方正仿宋_GB2312" w:cs="方正仿宋_GB2312" w:hint="eastAsia"/>
          <w:sz w:val="32"/>
          <w:szCs w:val="32"/>
        </w:rPr>
      </w:pPr>
      <w:r w:rsidRPr="00F3120C">
        <w:rPr>
          <w:rFonts w:ascii="仿宋_GB2312" w:eastAsia="仿宋_GB2312" w:hAnsi="方正仿宋_GB2312" w:cs="方正仿宋_GB2312" w:hint="eastAsia"/>
          <w:sz w:val="32"/>
          <w:szCs w:val="32"/>
        </w:rPr>
        <w:tab/>
      </w:r>
    </w:p>
    <w:sectPr w:rsidR="00BE023A" w:rsidRPr="00F312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441065-6F22-4496-835A-7B528BC06D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B81702-878A-4450-83BF-6A7740666FE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  <w:embedRegular r:id="rId3" w:subsetted="1" w:fontKey="{390692B6-0B7D-48BF-A305-7C0F87DC18B1}"/>
  </w:font>
  <w:font w:name="方正仿宋_GB2312"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4" w:subsetted="1" w:fontKey="{ED7D77C2-83EF-433B-825C-203EA4958C2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EEFF17BE-6917-414B-B1C2-E570F52940F2}"/>
    <w:embedBold r:id="rId6" w:subsetted="1" w:fontKey="{75E729D9-B8D9-4484-A55C-1774E5FB0CD5}"/>
  </w:font>
  <w:font w:name="方正楷体_GB2312"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DC78C36-2F3A-4510-8041-5F5253B5F5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5B14E65"/>
    <w:multiLevelType w:val="singleLevel"/>
    <w:tmpl w:val="D5B14E65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5A6865FB"/>
    <w:multiLevelType w:val="singleLevel"/>
    <w:tmpl w:val="5A6865FB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134063239">
    <w:abstractNumId w:val="1"/>
  </w:num>
  <w:num w:numId="2" w16cid:durableId="1040280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EA814C5"/>
    <w:rsid w:val="00231126"/>
    <w:rsid w:val="002D2420"/>
    <w:rsid w:val="002D7896"/>
    <w:rsid w:val="00575732"/>
    <w:rsid w:val="00AF67E3"/>
    <w:rsid w:val="00BB4B9A"/>
    <w:rsid w:val="00BE023A"/>
    <w:rsid w:val="00E969AC"/>
    <w:rsid w:val="00EB00B4"/>
    <w:rsid w:val="00F3120C"/>
    <w:rsid w:val="00FC5774"/>
    <w:rsid w:val="7EA8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EB5836"/>
  <w15:docId w15:val="{6E1EA929-E9A0-4971-BE2A-2B82F4E6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Yage</dc:creator>
  <cp:lastModifiedBy>WangXianchen</cp:lastModifiedBy>
  <cp:revision>10</cp:revision>
  <dcterms:created xsi:type="dcterms:W3CDTF">2024-11-25T01:28:00Z</dcterms:created>
  <dcterms:modified xsi:type="dcterms:W3CDTF">2024-11-28T09:21:00Z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CF937C87160B48BE973B7A72D9EBB77E_11</vt:lpwstr>
  </property>
</Properties>
</file>