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76" w:lineRule="exact"/>
        <w:jc w:val="center"/>
        <w:rPr>
          <w:rFonts w:hint="default" w:ascii="方正小标宋简体" w:eastAsia="方正小标宋简体"/>
          <w:b w:val="0"/>
          <w:kern w:val="2"/>
          <w:sz w:val="44"/>
          <w:szCs w:val="44"/>
          <w:lang w:val="en-US" w:eastAsia="zh-CN"/>
        </w:rPr>
      </w:pPr>
      <w:r>
        <w:rPr>
          <w:rFonts w:ascii="方正小标宋简体" w:eastAsia="方正小标宋简体"/>
          <w:b w:val="0"/>
          <w:kern w:val="2"/>
          <w:sz w:val="44"/>
          <w:szCs w:val="44"/>
        </w:rPr>
        <w:t>茅台学院内部控制评价实施办法</w:t>
      </w:r>
    </w:p>
    <w:p>
      <w:pPr>
        <w:spacing w:line="576" w:lineRule="exact"/>
        <w:jc w:val="center"/>
        <w:rPr>
          <w:rFonts w:ascii="黑体" w:hAnsi="黑体" w:eastAsia="黑体" w:cs="宋体"/>
          <w:color w:val="000000"/>
          <w:kern w:val="0"/>
          <w:sz w:val="32"/>
          <w:szCs w:val="32"/>
        </w:rPr>
      </w:pPr>
    </w:p>
    <w:p>
      <w:pPr>
        <w:spacing w:line="576" w:lineRule="exact"/>
        <w:jc w:val="center"/>
        <w:rPr>
          <w:color w:val="333333"/>
          <w:szCs w:val="21"/>
        </w:rPr>
      </w:pPr>
      <w:r>
        <w:rPr>
          <w:rFonts w:hint="eastAsia" w:ascii="黑体" w:hAnsi="黑体" w:eastAsia="黑体" w:cs="宋体"/>
          <w:color w:val="000000"/>
          <w:kern w:val="0"/>
          <w:sz w:val="32"/>
          <w:szCs w:val="32"/>
        </w:rPr>
        <w:t>第一章  总 则</w:t>
      </w:r>
    </w:p>
    <w:p>
      <w:pPr>
        <w:widowControl/>
        <w:snapToGrid w:val="0"/>
        <w:spacing w:beforeAutospacing="0" w:afterAutospacing="0" w:line="620" w:lineRule="exact"/>
        <w:ind w:firstLine="640" w:firstLineChars="200"/>
        <w:jc w:val="left"/>
        <w:textAlignment w:val="baseline"/>
        <w:rPr>
          <w:rFonts w:hint="default" w:ascii="仿宋_GB2312" w:hAnsi="仿宋_GB2312" w:eastAsia="仿宋_GB2312" w:cs="仿宋_GB2312"/>
          <w:b w:val="0"/>
          <w:color w:val="000000"/>
          <w:kern w:val="0"/>
          <w:sz w:val="32"/>
          <w:szCs w:val="32"/>
        </w:rPr>
      </w:pPr>
      <w:r>
        <w:rPr>
          <w:rFonts w:ascii="黑体" w:hAnsi="黑体" w:eastAsia="黑体" w:cs="黑体"/>
          <w:b w:val="0"/>
          <w:bCs/>
          <w:color w:val="000000"/>
          <w:kern w:val="0"/>
          <w:sz w:val="32"/>
          <w:szCs w:val="32"/>
        </w:rPr>
        <w:t>第一条</w:t>
      </w:r>
      <w:r>
        <w:rPr>
          <w:rFonts w:hint="default" w:ascii="仿宋_GB2312" w:hAnsi="仿宋" w:eastAsia="仿宋_GB2312" w:cs="宋体"/>
          <w:b w:val="0"/>
          <w:color w:val="000000"/>
          <w:kern w:val="0"/>
          <w:sz w:val="32"/>
          <w:szCs w:val="32"/>
        </w:rPr>
        <w:t> </w:t>
      </w:r>
      <w:r>
        <w:rPr>
          <w:rFonts w:ascii="仿宋_GB2312" w:hAnsi="仿宋_GB2312" w:eastAsia="仿宋_GB2312" w:cs="仿宋_GB2312"/>
          <w:b w:val="0"/>
          <w:color w:val="000000"/>
          <w:kern w:val="0"/>
          <w:sz w:val="32"/>
          <w:szCs w:val="32"/>
        </w:rPr>
        <w:t>为规范学校内部控制评价工作，促进学校内部控制不断完善并有效实施，根据《企业内部控制基本规范》《教育部直属高校经济活动内部控制指南（试行）》</w:t>
      </w:r>
      <w:r>
        <w:rPr>
          <w:rFonts w:hint="default" w:ascii="仿宋_GB2312" w:hAnsi="仿宋_GB2312" w:eastAsia="仿宋_GB2312" w:cs="仿宋_GB2312"/>
          <w:b w:val="0"/>
          <w:color w:val="000000"/>
          <w:kern w:val="0"/>
          <w:sz w:val="32"/>
          <w:szCs w:val="32"/>
          <w:lang w:eastAsia="zh-CN"/>
        </w:rPr>
        <w:t>《</w:t>
      </w:r>
      <w:r>
        <w:rPr>
          <w:rFonts w:hint="default" w:ascii="仿宋_GB2312" w:hAnsi="仿宋_GB2312" w:eastAsia="仿宋_GB2312" w:cs="仿宋_GB2312"/>
          <w:bCs w:val="0"/>
          <w:color w:val="000000"/>
          <w:kern w:val="0"/>
          <w:sz w:val="32"/>
          <w:szCs w:val="32"/>
        </w:rPr>
        <w:t>中国贵州茅台酒厂（集团）有限责任公司</w:t>
      </w:r>
      <w:bookmarkStart w:id="0" w:name="_Hlk106612238"/>
      <w:r>
        <w:rPr>
          <w:rFonts w:hint="default" w:ascii="仿宋_GB2312" w:hAnsi="仿宋_GB2312" w:eastAsia="仿宋_GB2312" w:cs="仿宋_GB2312"/>
          <w:bCs w:val="0"/>
          <w:color w:val="000000"/>
          <w:kern w:val="0"/>
          <w:sz w:val="32"/>
          <w:szCs w:val="32"/>
        </w:rPr>
        <w:t>内部控制管理办法</w:t>
      </w:r>
      <w:bookmarkEnd w:id="0"/>
      <w:r>
        <w:rPr>
          <w:rFonts w:hint="eastAsia" w:ascii="仿宋_GB2312" w:hAnsi="仿宋_GB2312" w:eastAsia="仿宋_GB2312" w:cs="仿宋_GB2312"/>
          <w:bCs w:val="0"/>
          <w:color w:val="000000"/>
          <w:kern w:val="0"/>
          <w:sz w:val="32"/>
          <w:szCs w:val="32"/>
          <w:lang w:eastAsia="zh-CN"/>
        </w:rPr>
        <w:t>》</w:t>
      </w:r>
      <w:r>
        <w:rPr>
          <w:rFonts w:ascii="仿宋_GB2312" w:hAnsi="仿宋_GB2312" w:eastAsia="仿宋_GB2312" w:cs="仿宋_GB2312"/>
          <w:b w:val="0"/>
          <w:color w:val="000000"/>
          <w:kern w:val="0"/>
          <w:sz w:val="32"/>
          <w:szCs w:val="32"/>
        </w:rPr>
        <w:t>等制度，结合实际，制定本办法。</w:t>
      </w:r>
    </w:p>
    <w:p>
      <w:pPr>
        <w:widowControl/>
        <w:numPr>
          <w:ilvl w:val="-1"/>
          <w:numId w:val="0"/>
        </w:numPr>
        <w:spacing w:line="576"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w:t>
      </w:r>
      <w:r>
        <w:rPr>
          <w:rFonts w:hint="eastAsia" w:ascii="黑体" w:hAnsi="黑体" w:eastAsia="黑体" w:cs="黑体"/>
          <w:bCs/>
          <w:color w:val="000000"/>
          <w:kern w:val="0"/>
          <w:sz w:val="32"/>
          <w:szCs w:val="32"/>
          <w:lang w:val="en-US" w:eastAsia="zh-CN"/>
        </w:rPr>
        <w:t>二</w:t>
      </w:r>
      <w:r>
        <w:rPr>
          <w:rFonts w:hint="eastAsia" w:ascii="黑体" w:hAnsi="黑体" w:eastAsia="黑体" w:cs="黑体"/>
          <w:bCs/>
          <w:color w:val="000000"/>
          <w:kern w:val="0"/>
          <w:sz w:val="32"/>
          <w:szCs w:val="32"/>
        </w:rPr>
        <w:t>条</w:t>
      </w:r>
      <w:r>
        <w:rPr>
          <w:rFonts w:hint="eastAsia" w:ascii="仿宋_GB2312" w:hAnsi="仿宋_GB2312" w:eastAsia="仿宋_GB2312" w:cs="仿宋_GB2312"/>
          <w:color w:val="000000"/>
          <w:kern w:val="0"/>
          <w:sz w:val="32"/>
          <w:szCs w:val="32"/>
        </w:rPr>
        <w:t>本办法所称内部控制评价，是指对学校自身内部控 制建立和执行的有效性进行评价，形成评价结论，并出具评价报告的过程。</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xml:space="preserve">第三条 </w:t>
      </w:r>
      <w:r>
        <w:rPr>
          <w:rFonts w:hint="eastAsia" w:ascii="仿宋_GB2312" w:hAnsi="仿宋_GB2312" w:eastAsia="仿宋_GB2312" w:cs="仿宋_GB2312"/>
          <w:color w:val="000000"/>
          <w:kern w:val="0"/>
          <w:sz w:val="32"/>
          <w:szCs w:val="32"/>
        </w:rPr>
        <w:t>内部控制评价以风险评估为基础，根据风险发生的可能性和对单位整体或某个控制目标造成的影响程度，确定评价的范围和重点，可以进行全面评价，也可以进行专项评价。</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 xml:space="preserve">第四条 </w:t>
      </w:r>
      <w:r>
        <w:rPr>
          <w:rFonts w:hint="eastAsia" w:ascii="仿宋_GB2312" w:hAnsi="仿宋_GB2312" w:eastAsia="仿宋_GB2312" w:cs="仿宋_GB2312"/>
          <w:color w:val="000000"/>
          <w:kern w:val="0"/>
          <w:sz w:val="32"/>
          <w:szCs w:val="32"/>
        </w:rPr>
        <w:t>学校统筹安排内部控制评价工作，充分发挥评价报 告的作用，不断完善学校内部控制体系，提高内部控制建立与实施的有效性。</w:t>
      </w:r>
    </w:p>
    <w:p>
      <w:pPr>
        <w:widowControl/>
        <w:spacing w:line="576" w:lineRule="exact"/>
        <w:ind w:firstLine="640" w:firstLineChars="200"/>
        <w:rPr>
          <w:rFonts w:hint="eastAsia" w:ascii="仿宋_GB2312" w:hAnsi="仿宋_GB2312" w:cs="仿宋_GB2312"/>
          <w:lang w:eastAsia="zh-CN"/>
        </w:rPr>
      </w:pPr>
      <w:r>
        <w:rPr>
          <w:rFonts w:hint="eastAsia" w:ascii="黑体" w:hAnsi="黑体" w:eastAsia="黑体" w:cs="黑体"/>
          <w:bCs/>
          <w:color w:val="000000"/>
          <w:kern w:val="0"/>
          <w:sz w:val="32"/>
          <w:szCs w:val="32"/>
        </w:rPr>
        <w:t>第</w:t>
      </w:r>
      <w:r>
        <w:rPr>
          <w:rFonts w:hint="eastAsia" w:ascii="黑体" w:hAnsi="黑体" w:eastAsia="黑体" w:cs="黑体"/>
          <w:bCs/>
          <w:color w:val="000000"/>
          <w:kern w:val="0"/>
          <w:sz w:val="32"/>
          <w:szCs w:val="32"/>
          <w:lang w:val="en-US" w:eastAsia="zh-CN"/>
        </w:rPr>
        <w:t>五</w:t>
      </w:r>
      <w:r>
        <w:rPr>
          <w:rFonts w:hint="eastAsia" w:ascii="黑体" w:hAnsi="黑体" w:eastAsia="黑体" w:cs="黑体"/>
          <w:bCs/>
          <w:color w:val="000000"/>
          <w:kern w:val="0"/>
          <w:sz w:val="32"/>
          <w:szCs w:val="32"/>
        </w:rPr>
        <w:t xml:space="preserve">条 </w:t>
      </w:r>
      <w:r>
        <w:rPr>
          <w:rFonts w:hint="eastAsia" w:ascii="仿宋_GB2312" w:hAnsi="仿宋_GB2312" w:eastAsia="仿宋_GB2312" w:cs="仿宋_GB2312"/>
          <w:color w:val="000000"/>
          <w:kern w:val="0"/>
          <w:sz w:val="32"/>
          <w:szCs w:val="32"/>
        </w:rPr>
        <w:t>内部控制</w:t>
      </w:r>
      <w:r>
        <w:rPr>
          <w:rFonts w:hint="eastAsia" w:ascii="仿宋_GB2312" w:hAnsi="仿宋_GB2312" w:eastAsia="仿宋_GB2312" w:cs="仿宋_GB2312"/>
          <w:color w:val="000000"/>
          <w:kern w:val="0"/>
          <w:sz w:val="32"/>
          <w:szCs w:val="32"/>
          <w:lang w:val="en-US" w:eastAsia="zh-CN"/>
        </w:rPr>
        <w:t>评价</w:t>
      </w:r>
      <w:r>
        <w:rPr>
          <w:rFonts w:hint="eastAsia" w:ascii="仿宋_GB2312" w:hAnsi="仿宋_GB2312" w:eastAsia="仿宋_GB2312" w:cs="仿宋_GB2312"/>
          <w:color w:val="000000"/>
          <w:kern w:val="0"/>
          <w:sz w:val="32"/>
          <w:szCs w:val="32"/>
        </w:rPr>
        <w:t>遵循</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原则</w:t>
      </w:r>
      <w:r>
        <w:rPr>
          <w:rFonts w:hint="eastAsia" w:ascii="仿宋_GB2312" w:hAnsi="仿宋_GB2312" w:eastAsia="仿宋_GB2312" w:cs="仿宋_GB2312"/>
          <w:color w:val="000000"/>
          <w:kern w:val="0"/>
          <w:sz w:val="32"/>
          <w:szCs w:val="32"/>
          <w:lang w:eastAsia="zh-CN"/>
        </w:rPr>
        <w:t>：</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rPr>
        <w:t>全面性原则。评价工作要包括内部控制的设计与运行，涵盖学校及所属单位的各种业务。</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Cs w:val="0"/>
          <w:color w:val="000000"/>
          <w:kern w:val="0"/>
          <w:sz w:val="32"/>
          <w:szCs w:val="32"/>
          <w:lang w:eastAsia="zh-CN"/>
        </w:rPr>
        <w:t>（</w:t>
      </w:r>
      <w:r>
        <w:rPr>
          <w:rFonts w:hint="eastAsia" w:ascii="仿宋_GB2312" w:hAnsi="仿宋_GB2312" w:eastAsia="仿宋_GB2312" w:cs="仿宋_GB2312"/>
          <w:bCs w:val="0"/>
          <w:color w:val="000000"/>
          <w:kern w:val="0"/>
          <w:sz w:val="32"/>
          <w:szCs w:val="32"/>
          <w:lang w:val="en-US" w:eastAsia="zh-CN"/>
        </w:rPr>
        <w:t>二）</w:t>
      </w:r>
      <w:r>
        <w:rPr>
          <w:rFonts w:hint="eastAsia" w:ascii="仿宋_GB2312" w:hAnsi="仿宋_GB2312" w:eastAsia="仿宋_GB2312" w:cs="仿宋_GB2312"/>
          <w:color w:val="000000"/>
          <w:kern w:val="0"/>
          <w:sz w:val="32"/>
          <w:szCs w:val="32"/>
        </w:rPr>
        <w:t>重要性原则。评价工作要在全面评价的基础上，关注重要单位、重要业务和高风险领域。</w:t>
      </w:r>
    </w:p>
    <w:p>
      <w:pPr>
        <w:widowControl/>
        <w:spacing w:line="576" w:lineRule="exact"/>
        <w:ind w:firstLine="640" w:firstLineChars="200"/>
        <w:rPr>
          <w:rFonts w:ascii="仿宋_GB2312" w:hAnsi="仿宋_GB2312" w:eastAsia="仿宋_GB2312" w:cs="仿宋_GB2312"/>
          <w:color w:val="000000"/>
          <w:kern w:val="0"/>
          <w:sz w:val="32"/>
          <w:szCs w:val="32"/>
          <w:highlight w:val="yellow"/>
        </w:rPr>
      </w:pPr>
      <w:r>
        <w:rPr>
          <w:rFonts w:hint="eastAsia" w:ascii="仿宋_GB2312" w:hAnsi="仿宋_GB2312" w:eastAsia="仿宋_GB2312" w:cs="仿宋_GB2312"/>
          <w:bCs w:val="0"/>
          <w:color w:val="000000"/>
          <w:kern w:val="0"/>
          <w:sz w:val="32"/>
          <w:szCs w:val="32"/>
          <w:lang w:eastAsia="zh-CN"/>
        </w:rPr>
        <w:t>（</w:t>
      </w:r>
      <w:r>
        <w:rPr>
          <w:rFonts w:hint="eastAsia" w:ascii="仿宋_GB2312" w:hAnsi="仿宋_GB2312" w:eastAsia="仿宋_GB2312" w:cs="仿宋_GB2312"/>
          <w:bCs w:val="0"/>
          <w:color w:val="000000"/>
          <w:kern w:val="0"/>
          <w:sz w:val="32"/>
          <w:szCs w:val="32"/>
          <w:lang w:val="en-US" w:eastAsia="zh-CN"/>
        </w:rPr>
        <w:t>三）</w:t>
      </w:r>
      <w:r>
        <w:rPr>
          <w:rFonts w:hint="eastAsia" w:ascii="仿宋_GB2312" w:hAnsi="仿宋_GB2312" w:eastAsia="仿宋_GB2312" w:cs="仿宋_GB2312"/>
          <w:color w:val="000000"/>
          <w:kern w:val="0"/>
          <w:sz w:val="32"/>
          <w:szCs w:val="32"/>
        </w:rPr>
        <w:t>及时性原则。评价工作要按照规定的时间间隔持续进行，当管理环境等发生重大变化时，要及时进行再评价。</w:t>
      </w:r>
    </w:p>
    <w:p>
      <w:pPr>
        <w:widowControl/>
        <w:spacing w:line="576" w:lineRule="exact"/>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bCs w:val="0"/>
          <w:color w:val="000000"/>
          <w:kern w:val="0"/>
          <w:sz w:val="32"/>
          <w:szCs w:val="32"/>
          <w:lang w:eastAsia="zh-CN"/>
        </w:rPr>
        <w:t>（</w:t>
      </w:r>
      <w:r>
        <w:rPr>
          <w:rFonts w:hint="eastAsia" w:ascii="仿宋_GB2312" w:hAnsi="仿宋_GB2312" w:eastAsia="仿宋_GB2312" w:cs="仿宋_GB2312"/>
          <w:bCs w:val="0"/>
          <w:color w:val="000000"/>
          <w:kern w:val="0"/>
          <w:sz w:val="32"/>
          <w:szCs w:val="32"/>
          <w:lang w:val="en-US" w:eastAsia="zh-CN"/>
        </w:rPr>
        <w:t>四）</w:t>
      </w:r>
      <w:r>
        <w:rPr>
          <w:rFonts w:hint="eastAsia" w:ascii="仿宋_GB2312" w:hAnsi="宋体" w:eastAsia="仿宋_GB2312" w:cs="仿宋_GB2312"/>
          <w:sz w:val="32"/>
          <w:szCs w:val="32"/>
        </w:rPr>
        <w:t>客观性原则。评价工作要准确揭示业务管理的风险状况，如实反映内部控制设计与运行情况。</w:t>
      </w:r>
    </w:p>
    <w:p>
      <w:pPr>
        <w:widowControl/>
        <w:snapToGrid w:val="0"/>
        <w:spacing w:line="579" w:lineRule="exact"/>
        <w:ind w:firstLine="640" w:firstLineChars="200"/>
        <w:rPr>
          <w:rFonts w:ascii="黑体" w:hAnsi="宋体" w:eastAsia="黑体" w:cs="黑体"/>
          <w:color w:val="000000"/>
          <w:kern w:val="0"/>
          <w:sz w:val="31"/>
          <w:szCs w:val="31"/>
          <w:lang w:bidi="ar"/>
        </w:rPr>
      </w:pPr>
      <w:r>
        <w:rPr>
          <w:rFonts w:hint="eastAsia" w:ascii="仿宋_GB2312" w:hAnsi="仿宋_GB2312" w:eastAsia="仿宋_GB2312" w:cs="仿宋_GB2312"/>
          <w:bCs w:val="0"/>
          <w:color w:val="000000"/>
          <w:kern w:val="0"/>
          <w:sz w:val="32"/>
          <w:szCs w:val="32"/>
          <w:lang w:eastAsia="zh-CN"/>
        </w:rPr>
        <w:t>（</w:t>
      </w:r>
      <w:r>
        <w:rPr>
          <w:rFonts w:hint="eastAsia" w:ascii="仿宋_GB2312" w:hAnsi="仿宋_GB2312" w:eastAsia="仿宋_GB2312" w:cs="仿宋_GB2312"/>
          <w:bCs w:val="0"/>
          <w:color w:val="000000"/>
          <w:kern w:val="0"/>
          <w:sz w:val="32"/>
          <w:szCs w:val="32"/>
          <w:lang w:val="en-US" w:eastAsia="zh-CN"/>
        </w:rPr>
        <w:t>五）</w:t>
      </w:r>
      <w:r>
        <w:rPr>
          <w:rFonts w:hint="eastAsia" w:ascii="仿宋_GB2312" w:hAnsi="宋体" w:eastAsia="仿宋_GB2312" w:cs="仿宋_GB2312"/>
          <w:sz w:val="32"/>
          <w:szCs w:val="32"/>
        </w:rPr>
        <w:t>制衡性原则。内部控制在治理结构、机构设置及权责分配、业务流程等方面体现相互制约与相互监督，同时兼顾运营效率</w:t>
      </w:r>
      <w:r>
        <w:rPr>
          <w:rFonts w:hint="eastAsia" w:ascii="仿宋_GB2312" w:hAnsi="宋体" w:eastAsia="仿宋_GB2312" w:cs="仿宋_GB2312"/>
          <w:sz w:val="32"/>
          <w:szCs w:val="32"/>
          <w:lang w:eastAsia="zh-CN"/>
        </w:rPr>
        <w:t>。</w:t>
      </w:r>
    </w:p>
    <w:p>
      <w:pPr>
        <w:widowControl/>
        <w:numPr>
          <w:ilvl w:val="-1"/>
          <w:numId w:val="0"/>
        </w:numPr>
        <w:spacing w:line="576" w:lineRule="exact"/>
        <w:ind w:firstLine="0" w:firstLineChars="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第二章  </w:t>
      </w:r>
      <w:r>
        <w:rPr>
          <w:rFonts w:ascii="黑体" w:hAnsi="宋体" w:eastAsia="黑体" w:cs="黑体"/>
          <w:color w:val="000000"/>
          <w:kern w:val="0"/>
          <w:sz w:val="31"/>
          <w:szCs w:val="31"/>
          <w:lang w:bidi="ar"/>
        </w:rPr>
        <w:t>内部控制</w:t>
      </w:r>
      <w:r>
        <w:rPr>
          <w:rFonts w:hint="eastAsia" w:ascii="黑体" w:hAnsi="宋体" w:eastAsia="黑体" w:cs="黑体"/>
          <w:color w:val="000000"/>
          <w:kern w:val="0"/>
          <w:sz w:val="31"/>
          <w:szCs w:val="31"/>
          <w:lang w:val="en-US" w:eastAsia="zh-CN" w:bidi="ar"/>
        </w:rPr>
        <w:t>组织实施</w:t>
      </w:r>
    </w:p>
    <w:p>
      <w:pPr>
        <w:widowControl/>
        <w:spacing w:line="576"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w:t>
      </w:r>
      <w:r>
        <w:rPr>
          <w:rFonts w:hint="eastAsia" w:ascii="黑体" w:hAnsi="黑体" w:eastAsia="黑体" w:cs="黑体"/>
          <w:bCs/>
          <w:color w:val="000000"/>
          <w:kern w:val="0"/>
          <w:sz w:val="32"/>
          <w:szCs w:val="32"/>
          <w:lang w:val="en-US" w:eastAsia="zh-CN"/>
        </w:rPr>
        <w:t>六</w:t>
      </w:r>
      <w:r>
        <w:rPr>
          <w:rFonts w:hint="eastAsia" w:ascii="黑体" w:hAnsi="黑体" w:eastAsia="黑体" w:cs="黑体"/>
          <w:bCs/>
          <w:color w:val="000000"/>
          <w:kern w:val="0"/>
          <w:sz w:val="32"/>
          <w:szCs w:val="32"/>
        </w:rPr>
        <w:t xml:space="preserve">条 </w:t>
      </w:r>
      <w:r>
        <w:rPr>
          <w:rFonts w:ascii="仿宋_GB2312" w:hAnsi="仿宋_GB2312" w:eastAsia="仿宋_GB2312" w:cs="仿宋_GB2312"/>
          <w:color w:val="000000"/>
          <w:kern w:val="0"/>
          <w:sz w:val="32"/>
          <w:szCs w:val="32"/>
        </w:rPr>
        <w:t>学校成立</w:t>
      </w:r>
      <w:r>
        <w:rPr>
          <w:rFonts w:hint="eastAsia" w:ascii="仿宋_GB2312" w:hAnsi="仿宋_GB2312" w:eastAsia="仿宋_GB2312" w:cs="仿宋_GB2312"/>
          <w:color w:val="000000"/>
          <w:kern w:val="0"/>
          <w:sz w:val="32"/>
          <w:szCs w:val="32"/>
        </w:rPr>
        <w:t>内部控制评价工作组（以下简称“工作组”）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办公室设在审计处</w:t>
      </w:r>
      <w:r>
        <w:rPr>
          <w:rFonts w:hint="eastAsia" w:ascii="仿宋_GB2312" w:hAnsi="仿宋_GB2312" w:eastAsia="仿宋_GB2312" w:cs="仿宋_GB2312"/>
          <w:color w:val="000000"/>
          <w:kern w:val="0"/>
          <w:sz w:val="32"/>
          <w:szCs w:val="32"/>
        </w:rPr>
        <w:t>。</w:t>
      </w:r>
    </w:p>
    <w:p>
      <w:pPr>
        <w:widowControl/>
        <w:spacing w:line="576"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w:t>
      </w:r>
      <w:r>
        <w:rPr>
          <w:rFonts w:hint="eastAsia" w:ascii="黑体" w:hAnsi="黑体" w:eastAsia="黑体" w:cs="黑体"/>
          <w:bCs/>
          <w:color w:val="000000"/>
          <w:kern w:val="0"/>
          <w:sz w:val="32"/>
          <w:szCs w:val="32"/>
          <w:lang w:val="en-US" w:eastAsia="zh-CN"/>
        </w:rPr>
        <w:t>七</w:t>
      </w:r>
      <w:r>
        <w:rPr>
          <w:rFonts w:hint="eastAsia" w:ascii="黑体" w:hAnsi="黑体" w:eastAsia="黑体" w:cs="黑体"/>
          <w:bCs/>
          <w:color w:val="000000"/>
          <w:kern w:val="0"/>
          <w:sz w:val="32"/>
          <w:szCs w:val="32"/>
        </w:rPr>
        <w:t>条</w:t>
      </w:r>
      <w:r>
        <w:rPr>
          <w:rFonts w:hint="eastAsia" w:ascii="黑体" w:hAnsi="黑体" w:eastAsia="黑体" w:cs="黑体"/>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内部控制评价工作组</w:t>
      </w:r>
      <w:r>
        <w:rPr>
          <w:rFonts w:hint="eastAsia" w:ascii="仿宋_GB2312" w:hAnsi="仿宋_GB2312" w:eastAsia="仿宋_GB2312" w:cs="仿宋_GB2312"/>
          <w:color w:val="000000"/>
          <w:kern w:val="0"/>
          <w:sz w:val="32"/>
          <w:szCs w:val="32"/>
          <w:lang w:val="en-US" w:eastAsia="zh-CN"/>
        </w:rPr>
        <w:t>由学校审计处等</w:t>
      </w:r>
      <w:r>
        <w:rPr>
          <w:rFonts w:ascii="仿宋_GB2312" w:hAnsi="仿宋_GB2312" w:eastAsia="仿宋_GB2312" w:cs="仿宋_GB2312"/>
          <w:color w:val="000000"/>
          <w:kern w:val="0"/>
          <w:sz w:val="32"/>
          <w:szCs w:val="32"/>
        </w:rPr>
        <w:t>相关</w:t>
      </w:r>
      <w:r>
        <w:rPr>
          <w:rFonts w:hint="eastAsia" w:ascii="仿宋_GB2312" w:hAnsi="仿宋_GB2312" w:eastAsia="仿宋_GB2312" w:cs="仿宋_GB2312"/>
          <w:color w:val="000000"/>
          <w:kern w:val="0"/>
          <w:sz w:val="32"/>
          <w:szCs w:val="32"/>
          <w:lang w:val="en-US" w:eastAsia="zh-CN"/>
        </w:rPr>
        <w:t>单位</w:t>
      </w:r>
      <w:r>
        <w:rPr>
          <w:rFonts w:hint="default" w:ascii="仿宋_GB2312" w:hAnsi="仿宋_GB2312" w:eastAsia="仿宋_GB2312" w:cs="仿宋_GB2312"/>
          <w:color w:val="000000"/>
          <w:kern w:val="0"/>
          <w:sz w:val="32"/>
          <w:szCs w:val="32"/>
        </w:rPr>
        <w:t>熟悉情况的业务骨干组成，具体承担内部控制评价工作。工作组成员对本部门内部控制评价工作应当回避</w:t>
      </w:r>
      <w:r>
        <w:rPr>
          <w:rFonts w:hint="eastAsia" w:ascii="仿宋_GB2312" w:hAnsi="仿宋_GB2312" w:eastAsia="仿宋_GB2312" w:cs="仿宋_GB2312"/>
          <w:color w:val="000000"/>
          <w:kern w:val="0"/>
          <w:sz w:val="32"/>
          <w:szCs w:val="32"/>
        </w:rPr>
        <w:t>。</w:t>
      </w:r>
    </w:p>
    <w:p>
      <w:pPr>
        <w:widowControl/>
        <w:spacing w:line="576"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审计处负责内部控制评价的具体实施。</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w:t>
      </w:r>
      <w:r>
        <w:rPr>
          <w:rFonts w:hint="eastAsia" w:ascii="黑体" w:hAnsi="黑体" w:eastAsia="黑体" w:cs="黑体"/>
          <w:bCs/>
          <w:color w:val="000000"/>
          <w:kern w:val="0"/>
          <w:sz w:val="32"/>
          <w:szCs w:val="32"/>
          <w:lang w:val="en-US" w:eastAsia="zh-CN"/>
        </w:rPr>
        <w:t>八</w:t>
      </w:r>
      <w:r>
        <w:rPr>
          <w:rFonts w:hint="eastAsia" w:ascii="黑体" w:hAnsi="黑体" w:eastAsia="黑体" w:cs="黑体"/>
          <w:bCs/>
          <w:color w:val="000000"/>
          <w:kern w:val="0"/>
          <w:sz w:val="32"/>
          <w:szCs w:val="32"/>
        </w:rPr>
        <w:t xml:space="preserve">条 </w:t>
      </w:r>
      <w:r>
        <w:rPr>
          <w:rFonts w:hint="eastAsia" w:ascii="仿宋_GB2312" w:hAnsi="仿宋_GB2312" w:eastAsia="仿宋_GB2312" w:cs="仿宋_GB2312"/>
          <w:color w:val="000000"/>
          <w:kern w:val="0"/>
          <w:sz w:val="32"/>
          <w:szCs w:val="32"/>
        </w:rPr>
        <w:t>根据工作需要，可以委托具备资质的中介机构实施内部控制评价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val="en-US" w:eastAsia="zh-CN"/>
        </w:rPr>
        <w:t>学校</w:t>
      </w:r>
      <w:r>
        <w:rPr>
          <w:rFonts w:hint="eastAsia" w:ascii="仿宋_GB2312" w:hAnsi="仿宋_GB2312" w:eastAsia="仿宋_GB2312" w:cs="仿宋_GB2312"/>
          <w:color w:val="000000"/>
          <w:kern w:val="0"/>
          <w:sz w:val="32"/>
          <w:szCs w:val="32"/>
        </w:rPr>
        <w:t>提供内部控制审计服务的会计师事务所，不得同时提供内部控制评价服务。</w:t>
      </w:r>
    </w:p>
    <w:p>
      <w:pPr>
        <w:widowControl/>
        <w:spacing w:line="576" w:lineRule="exact"/>
        <w:ind w:firstLine="640" w:firstLineChars="200"/>
        <w:jc w:val="left"/>
        <w:rPr>
          <w:rFonts w:hint="eastAsia" w:ascii="仿宋_GB2312" w:hAnsi="仿宋_GB2312" w:eastAsia="仿宋_GB2312" w:cs="仿宋_GB2312"/>
          <w:color w:val="000000"/>
          <w:kern w:val="0"/>
          <w:sz w:val="32"/>
          <w:szCs w:val="32"/>
        </w:rPr>
      </w:pPr>
    </w:p>
    <w:p>
      <w:pPr>
        <w:keepNext w:val="0"/>
        <w:keepLines w:val="0"/>
        <w:widowControl/>
        <w:suppressLineNumbers w:val="0"/>
        <w:jc w:val="center"/>
      </w:pPr>
      <w:r>
        <w:rPr>
          <w:rFonts w:ascii="黑体" w:hAnsi="宋体" w:eastAsia="黑体" w:cs="黑体"/>
          <w:color w:val="000000"/>
          <w:kern w:val="0"/>
          <w:sz w:val="32"/>
          <w:szCs w:val="32"/>
          <w:lang w:val="en-US" w:eastAsia="zh-CN" w:bidi="ar"/>
        </w:rPr>
        <w:t xml:space="preserve">第三章 </w:t>
      </w:r>
      <w:r>
        <w:rPr>
          <w:rFonts w:hint="eastAsia" w:ascii="黑体" w:hAnsi="宋体" w:eastAsia="黑体" w:cs="黑体"/>
          <w:color w:val="000000"/>
          <w:kern w:val="0"/>
          <w:sz w:val="32"/>
          <w:szCs w:val="32"/>
          <w:lang w:val="en-US" w:eastAsia="zh-CN" w:bidi="ar"/>
        </w:rPr>
        <w:t>评价内容</w:t>
      </w:r>
    </w:p>
    <w:p>
      <w:pPr>
        <w:keepNext w:val="0"/>
        <w:keepLines w:val="0"/>
        <w:widowControl/>
        <w:suppressLineNumbers w:val="0"/>
        <w:ind w:firstLine="643" w:firstLineChars="200"/>
        <w:jc w:val="left"/>
      </w:pPr>
      <w:r>
        <w:rPr>
          <w:rFonts w:ascii="仿宋" w:hAnsi="仿宋" w:eastAsia="仿宋" w:cs="仿宋"/>
          <w:b/>
          <w:bCs/>
          <w:color w:val="000000"/>
          <w:kern w:val="0"/>
          <w:sz w:val="32"/>
          <w:szCs w:val="32"/>
          <w:lang w:val="en-US" w:eastAsia="zh-CN" w:bidi="ar"/>
        </w:rPr>
        <w:t>第</w:t>
      </w:r>
      <w:r>
        <w:rPr>
          <w:rFonts w:hint="eastAsia" w:ascii="仿宋" w:hAnsi="仿宋" w:eastAsia="仿宋" w:cs="仿宋"/>
          <w:b/>
          <w:bCs/>
          <w:color w:val="000000"/>
          <w:kern w:val="0"/>
          <w:sz w:val="32"/>
          <w:szCs w:val="32"/>
          <w:lang w:val="en-US" w:eastAsia="zh-CN" w:bidi="ar"/>
        </w:rPr>
        <w:t>九</w:t>
      </w:r>
      <w:r>
        <w:rPr>
          <w:rFonts w:ascii="仿宋" w:hAnsi="仿宋" w:eastAsia="仿宋" w:cs="仿宋"/>
          <w:b/>
          <w:bCs/>
          <w:color w:val="000000"/>
          <w:kern w:val="0"/>
          <w:sz w:val="32"/>
          <w:szCs w:val="32"/>
          <w:lang w:val="en-US" w:eastAsia="zh-CN" w:bidi="ar"/>
        </w:rPr>
        <w:t xml:space="preserve">条 </w:t>
      </w:r>
      <w:r>
        <w:rPr>
          <w:rFonts w:hint="eastAsia" w:ascii="仿宋" w:hAnsi="仿宋" w:eastAsia="仿宋" w:cs="仿宋"/>
          <w:color w:val="000000"/>
          <w:kern w:val="0"/>
          <w:sz w:val="32"/>
          <w:szCs w:val="32"/>
          <w:lang w:val="en-US" w:eastAsia="zh-CN" w:bidi="ar"/>
        </w:rPr>
        <w:t xml:space="preserve">内部控制评价分为学校层面内部控制评价和业务层面内部控制评价。 </w:t>
      </w:r>
    </w:p>
    <w:p>
      <w:pPr>
        <w:keepNext w:val="0"/>
        <w:keepLines w:val="0"/>
        <w:widowControl/>
        <w:suppressLineNumbers w:val="0"/>
        <w:ind w:firstLine="643" w:firstLineChars="200"/>
        <w:jc w:val="left"/>
      </w:pPr>
      <w:r>
        <w:rPr>
          <w:rFonts w:hint="eastAsia" w:ascii="仿宋" w:hAnsi="仿宋" w:eastAsia="仿宋" w:cs="仿宋"/>
          <w:b/>
          <w:bCs/>
          <w:color w:val="000000"/>
          <w:kern w:val="0"/>
          <w:sz w:val="32"/>
          <w:szCs w:val="32"/>
          <w:lang w:val="en-US" w:eastAsia="zh-CN" w:bidi="ar"/>
        </w:rPr>
        <w:t xml:space="preserve">第十条 </w:t>
      </w:r>
      <w:r>
        <w:rPr>
          <w:rFonts w:hint="eastAsia" w:ascii="仿宋" w:hAnsi="仿宋" w:eastAsia="仿宋" w:cs="仿宋"/>
          <w:color w:val="000000"/>
          <w:kern w:val="0"/>
          <w:sz w:val="32"/>
          <w:szCs w:val="32"/>
          <w:lang w:val="en-US" w:eastAsia="zh-CN" w:bidi="ar"/>
        </w:rPr>
        <w:t>学校层面内部控制评价，是针对学校整体内部控制设计的有效性和运行的有效性所进行的评价，包括对</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三重一大</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、组织架构、决策与权力制衡机制、关键岗位责任制、人力资源、风险评估、财务体系、信息化管理等方面的评价。 </w:t>
      </w:r>
    </w:p>
    <w:p>
      <w:pPr>
        <w:widowControl/>
        <w:spacing w:line="240" w:lineRule="auto"/>
        <w:ind w:firstLine="643" w:firstLineChars="200"/>
        <w:jc w:val="left"/>
        <w:rPr>
          <w:rFonts w:ascii="仿宋_GB2312" w:hAnsi="仿宋_GB2312" w:eastAsia="仿宋_GB2312" w:cs="仿宋_GB2312"/>
          <w:color w:val="000000"/>
          <w:kern w:val="0"/>
          <w:sz w:val="32"/>
          <w:szCs w:val="32"/>
        </w:rPr>
      </w:pPr>
      <w:r>
        <w:rPr>
          <w:rFonts w:hint="eastAsia" w:ascii="仿宋" w:hAnsi="仿宋" w:eastAsia="仿宋" w:cs="仿宋"/>
          <w:b/>
          <w:bCs/>
          <w:color w:val="000000"/>
          <w:kern w:val="0"/>
          <w:sz w:val="32"/>
          <w:szCs w:val="32"/>
          <w:lang w:val="en-US" w:eastAsia="zh-CN" w:bidi="ar"/>
        </w:rPr>
        <w:t xml:space="preserve">第十一条 </w:t>
      </w:r>
      <w:r>
        <w:rPr>
          <w:rFonts w:hint="eastAsia" w:ascii="仿宋" w:hAnsi="仿宋" w:eastAsia="仿宋" w:cs="仿宋"/>
          <w:color w:val="000000"/>
          <w:kern w:val="0"/>
          <w:sz w:val="32"/>
          <w:szCs w:val="32"/>
          <w:lang w:val="en-US" w:eastAsia="zh-CN" w:bidi="ar"/>
        </w:rPr>
        <w:t>业务层面内部控制评价是针对某项业务活动内部控制设计的有效性和运行的有效性所进行的评价，包括对预决算管理、收入管理、支出管理、采购管理、资产管理、科研项目管理、财政专项项目管理、债务管理、合同管理、工程项目管理等业务活动的评价。</w:t>
      </w:r>
    </w:p>
    <w:p>
      <w:pPr>
        <w:widowControl/>
        <w:spacing w:line="576" w:lineRule="exact"/>
        <w:jc w:val="center"/>
      </w:pPr>
      <w:r>
        <w:rPr>
          <w:rFonts w:hint="eastAsia" w:ascii="黑体" w:hAnsi="宋体" w:eastAsia="黑体" w:cs="黑体"/>
          <w:color w:val="000000"/>
          <w:kern w:val="0"/>
          <w:sz w:val="31"/>
          <w:szCs w:val="31"/>
          <w:lang w:bidi="ar"/>
        </w:rPr>
        <w:t>第</w:t>
      </w:r>
      <w:r>
        <w:rPr>
          <w:rFonts w:hint="eastAsia" w:ascii="黑体" w:hAnsi="宋体" w:eastAsia="黑体" w:cs="黑体"/>
          <w:color w:val="000000"/>
          <w:kern w:val="0"/>
          <w:sz w:val="31"/>
          <w:szCs w:val="31"/>
          <w:lang w:val="en-US" w:eastAsia="zh-CN" w:bidi="ar"/>
        </w:rPr>
        <w:t>四</w:t>
      </w:r>
      <w:r>
        <w:rPr>
          <w:rFonts w:hint="eastAsia" w:ascii="黑体" w:hAnsi="宋体" w:eastAsia="黑体" w:cs="黑体"/>
          <w:color w:val="000000"/>
          <w:kern w:val="0"/>
          <w:sz w:val="31"/>
          <w:szCs w:val="31"/>
          <w:lang w:bidi="ar"/>
        </w:rPr>
        <w:t>章  内部控制评价的程序与方法</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第十</w:t>
      </w:r>
      <w:r>
        <w:rPr>
          <w:rFonts w:hint="eastAsia" w:ascii="黑体" w:hAnsi="黑体" w:eastAsia="黑体" w:cs="黑体"/>
          <w:bCs/>
          <w:color w:val="000000"/>
          <w:kern w:val="0"/>
          <w:sz w:val="32"/>
          <w:szCs w:val="32"/>
          <w:lang w:val="en-US" w:eastAsia="zh-CN"/>
        </w:rPr>
        <w:t>二</w:t>
      </w:r>
      <w:r>
        <w:rPr>
          <w:rFonts w:hint="eastAsia" w:ascii="黑体" w:hAnsi="黑体" w:eastAsia="黑体" w:cs="黑体"/>
          <w:bCs/>
          <w:color w:val="000000"/>
          <w:kern w:val="0"/>
          <w:sz w:val="32"/>
          <w:szCs w:val="32"/>
        </w:rPr>
        <w:t xml:space="preserve">条 </w:t>
      </w:r>
      <w:r>
        <w:rPr>
          <w:rFonts w:hint="eastAsia" w:ascii="仿宋_GB2312" w:hAnsi="仿宋_GB2312" w:eastAsia="仿宋_GB2312" w:cs="仿宋_GB2312"/>
          <w:color w:val="000000"/>
          <w:kern w:val="0"/>
          <w:sz w:val="32"/>
          <w:szCs w:val="32"/>
        </w:rPr>
        <w:t xml:space="preserve">内部控制评价的程序 </w:t>
      </w:r>
    </w:p>
    <w:p>
      <w:pPr>
        <w:widowControl/>
        <w:spacing w:line="560" w:lineRule="exact"/>
        <w:ind w:firstLine="640" w:firstLineChars="200"/>
      </w:pPr>
      <w:r>
        <w:rPr>
          <w:rFonts w:hint="eastAsia" w:ascii="仿宋_GB2312" w:hAnsi="仿宋_GB2312" w:eastAsia="仿宋_GB2312" w:cs="仿宋_GB2312"/>
          <w:color w:val="000000"/>
          <w:kern w:val="0"/>
          <w:sz w:val="32"/>
          <w:szCs w:val="32"/>
        </w:rPr>
        <w:t>（一）工作组</w:t>
      </w:r>
      <w:r>
        <w:rPr>
          <w:rFonts w:hint="eastAsia" w:ascii="仿宋_GB2312" w:hAnsi="Times New Roman" w:eastAsia="仿宋_GB2312" w:cs="仿宋_GB2312"/>
          <w:sz w:val="32"/>
          <w:szCs w:val="32"/>
          <w:lang w:bidi="ar"/>
        </w:rPr>
        <w:t>拟定内部控制评价工作方案，明确评价范围、工作任务、人员组织、进度安排和费用预算等相关内容。内部控制评价工作方案报</w:t>
      </w:r>
      <w:r>
        <w:rPr>
          <w:rFonts w:hint="eastAsia" w:ascii="仿宋_GB2312" w:hAnsi="Times New Roman" w:eastAsia="仿宋_GB2312" w:cs="仿宋_GB2312"/>
          <w:sz w:val="32"/>
          <w:szCs w:val="32"/>
          <w:lang w:val="en-US" w:eastAsia="zh-CN" w:bidi="ar"/>
        </w:rPr>
        <w:t>工作组</w:t>
      </w:r>
      <w:r>
        <w:rPr>
          <w:rFonts w:hint="eastAsia" w:ascii="仿宋_GB2312" w:hAnsi="Times New Roman" w:eastAsia="仿宋_GB2312" w:cs="仿宋_GB2312"/>
          <w:sz w:val="32"/>
          <w:szCs w:val="32"/>
          <w:lang w:bidi="ar"/>
        </w:rPr>
        <w:t>审定后实施。</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（二）在内部控制评价前向被评价单位送达通知书。</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（三）被评价单位要对内部控制活动进行自查，于现场评价前提交内部控制自我评价报告。</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（四）实施现场审查，取得相关证明材料，认定内部控制缺陷，编制评价工作底稿。</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（五）提出评价报告，对内部控制建立和执行的有效性做出评价。</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rPr>
        <w:t>第十</w:t>
      </w:r>
      <w:r>
        <w:rPr>
          <w:rFonts w:hint="eastAsia" w:ascii="黑体" w:hAnsi="黑体" w:eastAsia="黑体" w:cs="黑体"/>
          <w:bCs/>
          <w:color w:val="000000"/>
          <w:kern w:val="0"/>
          <w:sz w:val="32"/>
          <w:szCs w:val="32"/>
          <w:lang w:val="en-US" w:eastAsia="zh-CN"/>
        </w:rPr>
        <w:t>三</w:t>
      </w:r>
      <w:r>
        <w:rPr>
          <w:rFonts w:hint="eastAsia" w:ascii="黑体" w:hAnsi="黑体" w:eastAsia="黑体" w:cs="黑体"/>
          <w:bCs/>
          <w:color w:val="000000"/>
          <w:kern w:val="0"/>
          <w:sz w:val="32"/>
          <w:szCs w:val="32"/>
        </w:rPr>
        <w:t xml:space="preserve">条 </w:t>
      </w:r>
      <w:r>
        <w:rPr>
          <w:rFonts w:hint="eastAsia" w:ascii="仿宋_GB2312" w:hAnsi="仿宋_GB2312" w:eastAsia="仿宋_GB2312" w:cs="仿宋_GB2312"/>
          <w:color w:val="000000"/>
          <w:kern w:val="0"/>
          <w:sz w:val="32"/>
          <w:szCs w:val="32"/>
        </w:rPr>
        <w:t xml:space="preserve">内部控制评价的方法 </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工作组应当对被评价单位进行现场调查，综合运用访谈、问卷调查、专题讨论、实地查验、抽样和比较分析等方法，充分收集被评价部门内部控制设计和运行是否有效的证据，按照评价的具体内容，如实填写工作底稿，研究分析内部控制风险。</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（二）工作组根据现场调查获取的证据，对内部控制风险进行初步认定，按影响程度分为重大风险、重要风险和一般风险。</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工作组编制内部控制风险认定汇总表，对内部控制风险及其成因、表现形式和影响程度进行综合分析和全面复核后提出认定意见，并以适当形式向学校相关领导报告。对内部控制风险的认定，应当以日常监督和专项监督为基础，结合内部控制评价，由工作组进行综合分析，按照规定权限和程序进行审核后予以最终确定。</w:t>
      </w:r>
    </w:p>
    <w:p>
      <w:pPr>
        <w:widowControl/>
        <w:spacing w:line="576" w:lineRule="exact"/>
        <w:ind w:firstLine="640" w:firstLineChars="200"/>
        <w:jc w:val="left"/>
        <w:rPr>
          <w:rFonts w:hint="eastAsia" w:ascii="黑体" w:hAnsi="宋体" w:eastAsia="黑体" w:cs="黑体"/>
          <w:color w:val="000000"/>
          <w:kern w:val="0"/>
          <w:sz w:val="31"/>
          <w:szCs w:val="31"/>
          <w:lang w:bidi="ar"/>
        </w:rPr>
      </w:pPr>
      <w:r>
        <w:rPr>
          <w:rFonts w:hint="eastAsia" w:ascii="仿宋_GB2312" w:hAnsi="仿宋_GB2312" w:eastAsia="仿宋_GB2312" w:cs="仿宋_GB2312"/>
          <w:color w:val="000000"/>
          <w:kern w:val="0"/>
          <w:sz w:val="32"/>
          <w:szCs w:val="32"/>
        </w:rPr>
        <w:t>（四）评价监督工作底稿应当详细记录实施评价的内容，包括审查和评价的要素、主要风险点、采取的控制措施、有关证据资料以及内部控制缺陷认定结果等。</w:t>
      </w:r>
    </w:p>
    <w:p>
      <w:pPr>
        <w:widowControl/>
        <w:spacing w:line="576" w:lineRule="exact"/>
        <w:jc w:val="center"/>
        <w:rPr>
          <w:rFonts w:ascii="黑体" w:hAnsi="宋体" w:eastAsia="黑体" w:cs="黑体"/>
          <w:color w:val="000000"/>
          <w:kern w:val="0"/>
          <w:sz w:val="31"/>
          <w:szCs w:val="31"/>
          <w:lang w:bidi="ar"/>
        </w:rPr>
      </w:pPr>
      <w:r>
        <w:rPr>
          <w:rFonts w:ascii="黑体" w:hAnsi="宋体" w:eastAsia="黑体" w:cs="黑体"/>
          <w:color w:val="000000"/>
          <w:kern w:val="0"/>
          <w:sz w:val="31"/>
          <w:szCs w:val="31"/>
          <w:lang w:bidi="ar"/>
        </w:rPr>
        <w:t>第</w:t>
      </w:r>
      <w:r>
        <w:rPr>
          <w:rFonts w:hint="eastAsia" w:ascii="黑体" w:hAnsi="宋体" w:eastAsia="黑体" w:cs="黑体"/>
          <w:color w:val="000000"/>
          <w:kern w:val="0"/>
          <w:sz w:val="31"/>
          <w:szCs w:val="31"/>
          <w:lang w:val="en-US" w:eastAsia="zh-CN" w:bidi="ar"/>
        </w:rPr>
        <w:t>五</w:t>
      </w:r>
      <w:r>
        <w:rPr>
          <w:rFonts w:ascii="黑体" w:hAnsi="宋体" w:eastAsia="黑体" w:cs="黑体"/>
          <w:color w:val="000000"/>
          <w:kern w:val="0"/>
          <w:sz w:val="31"/>
          <w:szCs w:val="31"/>
          <w:lang w:bidi="ar"/>
        </w:rPr>
        <w:t xml:space="preserve">章 评价结果的运用 </w:t>
      </w:r>
    </w:p>
    <w:p>
      <w:pPr>
        <w:widowControl/>
        <w:spacing w:line="57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bCs/>
          <w:color w:val="000000"/>
          <w:kern w:val="0"/>
          <w:sz w:val="32"/>
          <w:szCs w:val="32"/>
        </w:rPr>
        <w:t>第</w:t>
      </w:r>
      <w:r>
        <w:rPr>
          <w:rFonts w:hint="eastAsia" w:ascii="黑体" w:hAnsi="黑体" w:eastAsia="黑体" w:cs="黑体"/>
          <w:bCs/>
          <w:color w:val="000000" w:themeColor="text1"/>
          <w:kern w:val="0"/>
          <w:sz w:val="32"/>
          <w:szCs w:val="32"/>
          <w14:textFill>
            <w14:solidFill>
              <w14:schemeClr w14:val="tx1"/>
            </w14:solidFill>
          </w14:textFill>
        </w:rPr>
        <w:t>十</w:t>
      </w:r>
      <w:r>
        <w:rPr>
          <w:rFonts w:hint="eastAsia" w:ascii="黑体" w:hAnsi="黑体" w:eastAsia="黑体" w:cs="黑体"/>
          <w:bCs/>
          <w:color w:val="000000" w:themeColor="text1"/>
          <w:kern w:val="0"/>
          <w:sz w:val="32"/>
          <w:szCs w:val="32"/>
          <w:lang w:val="en-US" w:eastAsia="zh-CN"/>
          <w14:textFill>
            <w14:solidFill>
              <w14:schemeClr w14:val="tx1"/>
            </w14:solidFill>
          </w14:textFill>
        </w:rPr>
        <w:t>四</w:t>
      </w:r>
      <w:r>
        <w:rPr>
          <w:rFonts w:hint="eastAsia" w:ascii="黑体" w:hAnsi="黑体" w:eastAsia="黑体" w:cs="黑体"/>
          <w:bCs/>
          <w:color w:val="000000" w:themeColor="text1"/>
          <w:kern w:val="0"/>
          <w:sz w:val="32"/>
          <w:szCs w:val="32"/>
          <w14:textFill>
            <w14:solidFill>
              <w14:schemeClr w14:val="tx1"/>
            </w14:solidFill>
          </w14:textFill>
        </w:rPr>
        <w:t xml:space="preserve">条 </w:t>
      </w:r>
      <w:r>
        <w:rPr>
          <w:rFonts w:ascii="仿宋_GB2312" w:hAnsi="仿宋_GB2312" w:eastAsia="仿宋_GB2312" w:cs="仿宋_GB2312"/>
          <w:color w:val="000000" w:themeColor="text1"/>
          <w:kern w:val="0"/>
          <w:sz w:val="32"/>
          <w:szCs w:val="32"/>
          <w14:textFill>
            <w14:solidFill>
              <w14:schemeClr w14:val="tx1"/>
            </w14:solidFill>
          </w14:textFill>
        </w:rPr>
        <w:t>内部控制评价报告应提交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工作组</w:t>
      </w:r>
      <w:r>
        <w:rPr>
          <w:rFonts w:hint="eastAsia" w:ascii="仿宋_GB2312" w:hAnsi="仿宋_GB2312" w:eastAsia="仿宋_GB2312" w:cs="仿宋_GB2312"/>
          <w:color w:val="000000" w:themeColor="text1"/>
          <w:kern w:val="0"/>
          <w:sz w:val="32"/>
          <w:szCs w:val="32"/>
          <w14:textFill>
            <w14:solidFill>
              <w14:schemeClr w14:val="tx1"/>
            </w14:solidFill>
          </w14:textFill>
        </w:rPr>
        <w:t>及各被评价单位</w:t>
      </w:r>
      <w:r>
        <w:rPr>
          <w:rFonts w:ascii="仿宋_GB2312" w:hAnsi="仿宋_GB2312" w:eastAsia="仿宋_GB2312" w:cs="仿宋_GB2312"/>
          <w:color w:val="000000" w:themeColor="text1"/>
          <w:kern w:val="0"/>
          <w:sz w:val="32"/>
          <w:szCs w:val="32"/>
          <w14:textFill>
            <w14:solidFill>
              <w14:schemeClr w14:val="tx1"/>
            </w14:solidFill>
          </w14:textFill>
        </w:rPr>
        <w:t>。相关单位应根据评价报告及时进行整改</w:t>
      </w:r>
      <w:r>
        <w:rPr>
          <w:rFonts w:hint="eastAsia" w:ascii="仿宋_GB2312" w:hAnsi="仿宋_GB2312" w:eastAsia="仿宋_GB2312" w:cs="仿宋_GB2312"/>
          <w:color w:val="000000" w:themeColor="text1"/>
          <w:kern w:val="0"/>
          <w:sz w:val="32"/>
          <w:szCs w:val="32"/>
          <w14:textFill>
            <w14:solidFill>
              <w14:schemeClr w14:val="tx1"/>
            </w14:solidFill>
          </w14:textFill>
        </w:rPr>
        <w:t>并将整改情况书面报审计处，审计处适时安排内部控制的后续评价。</w:t>
      </w:r>
      <w:r>
        <w:rPr>
          <w:rFonts w:ascii="仿宋_GB2312" w:hAnsi="仿宋_GB2312" w:eastAsia="仿宋_GB2312" w:cs="仿宋_GB2312"/>
          <w:color w:val="000000" w:themeColor="text1"/>
          <w:kern w:val="0"/>
          <w:sz w:val="32"/>
          <w:szCs w:val="32"/>
          <w14:textFill>
            <w14:solidFill>
              <w14:schemeClr w14:val="tx1"/>
            </w14:solidFill>
          </w14:textFill>
        </w:rPr>
        <w:t xml:space="preserve"> </w:t>
      </w:r>
    </w:p>
    <w:p>
      <w:pPr>
        <w:widowControl/>
        <w:spacing w:line="576"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kern w:val="0"/>
          <w:sz w:val="32"/>
          <w:szCs w:val="32"/>
        </w:rPr>
        <w:t>第</w:t>
      </w:r>
      <w:r>
        <w:rPr>
          <w:rFonts w:hint="eastAsia" w:ascii="黑体" w:hAnsi="黑体" w:eastAsia="黑体" w:cs="黑体"/>
          <w:bCs/>
          <w:color w:val="000000" w:themeColor="text1"/>
          <w:kern w:val="0"/>
          <w:sz w:val="32"/>
          <w:szCs w:val="32"/>
          <w14:textFill>
            <w14:solidFill>
              <w14:schemeClr w14:val="tx1"/>
            </w14:solidFill>
          </w14:textFill>
        </w:rPr>
        <w:t>十</w:t>
      </w:r>
      <w:r>
        <w:rPr>
          <w:rFonts w:hint="eastAsia" w:ascii="黑体" w:hAnsi="黑体" w:eastAsia="黑体" w:cs="黑体"/>
          <w:bCs/>
          <w:color w:val="000000" w:themeColor="text1"/>
          <w:kern w:val="0"/>
          <w:sz w:val="32"/>
          <w:szCs w:val="32"/>
          <w:lang w:val="en-US" w:eastAsia="zh-CN"/>
          <w14:textFill>
            <w14:solidFill>
              <w14:schemeClr w14:val="tx1"/>
            </w14:solidFill>
          </w14:textFill>
        </w:rPr>
        <w:t>五</w:t>
      </w:r>
      <w:r>
        <w:rPr>
          <w:rFonts w:hint="eastAsia" w:ascii="黑体" w:hAnsi="黑体" w:eastAsia="黑体" w:cs="黑体"/>
          <w:bCs/>
          <w:color w:val="000000" w:themeColor="text1"/>
          <w:kern w:val="0"/>
          <w:sz w:val="32"/>
          <w:szCs w:val="32"/>
          <w14:textFill>
            <w14:solidFill>
              <w14:schemeClr w14:val="tx1"/>
            </w14:solidFill>
          </w14:textFill>
        </w:rPr>
        <w:t xml:space="preserve">条 </w:t>
      </w:r>
      <w:r>
        <w:rPr>
          <w:rFonts w:ascii="仿宋_GB2312" w:hAnsi="仿宋_GB2312" w:eastAsia="仿宋_GB2312" w:cs="仿宋_GB2312"/>
          <w:color w:val="000000" w:themeColor="text1"/>
          <w:kern w:val="0"/>
          <w:sz w:val="32"/>
          <w:szCs w:val="32"/>
          <w14:textFill>
            <w14:solidFill>
              <w14:schemeClr w14:val="tx1"/>
            </w14:solidFill>
          </w14:textFill>
        </w:rPr>
        <w:t>内部控制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评价监督工作小组不定期检查学校内部控制体系的完善和内部控制规范的执行情况，以及内部控制关键岗位及人员的设置情况等，及时发现内部控制中存在的问题并提出改进建议。</w:t>
      </w:r>
    </w:p>
    <w:p>
      <w:pPr>
        <w:widowControl/>
        <w:spacing w:line="576"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第十</w:t>
      </w:r>
      <w:r>
        <w:rPr>
          <w:rFonts w:hint="eastAsia" w:ascii="黑体" w:hAnsi="黑体" w:eastAsia="黑体" w:cs="黑体"/>
          <w:bCs/>
          <w:color w:val="000000" w:themeColor="text1"/>
          <w:kern w:val="0"/>
          <w:sz w:val="32"/>
          <w:szCs w:val="32"/>
          <w:lang w:val="en-US" w:eastAsia="zh-CN"/>
          <w14:textFill>
            <w14:solidFill>
              <w14:schemeClr w14:val="tx1"/>
            </w14:solidFill>
          </w14:textFill>
        </w:rPr>
        <w:t>六</w:t>
      </w:r>
      <w:r>
        <w:rPr>
          <w:rFonts w:hint="eastAsia" w:ascii="黑体" w:hAnsi="黑体" w:eastAsia="黑体" w:cs="黑体"/>
          <w:bCs/>
          <w:color w:val="000000" w:themeColor="text1"/>
          <w:kern w:val="0"/>
          <w:sz w:val="32"/>
          <w:szCs w:val="32"/>
          <w14:textFill>
            <w14:solidFill>
              <w14:schemeClr w14:val="tx1"/>
            </w14:solidFill>
          </w14:textFill>
        </w:rPr>
        <w:t xml:space="preserve">条 </w:t>
      </w:r>
      <w:r>
        <w:rPr>
          <w:rFonts w:ascii="仿宋_GB2312" w:hAnsi="仿宋_GB2312" w:eastAsia="仿宋_GB2312" w:cs="仿宋_GB2312"/>
          <w:color w:val="000000" w:themeColor="text1"/>
          <w:kern w:val="0"/>
          <w:sz w:val="32"/>
          <w:szCs w:val="32"/>
          <w14:textFill>
            <w14:solidFill>
              <w14:schemeClr w14:val="tx1"/>
            </w14:solidFill>
          </w14:textFill>
        </w:rPr>
        <w:t>评价与监督结果应以适当的方式在学校内部进行公开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与业务部门年度业绩考核</w:t>
      </w:r>
      <w:r>
        <w:rPr>
          <w:rFonts w:hint="eastAsia" w:ascii="仿宋_GB2312" w:hAnsi="仿宋_GB2312" w:eastAsia="仿宋_GB2312" w:cs="仿宋_GB2312"/>
          <w:color w:val="000000" w:themeColor="text1"/>
          <w:kern w:val="0"/>
          <w:sz w:val="32"/>
          <w:szCs w:val="32"/>
          <w14:textFill>
            <w14:solidFill>
              <w14:schemeClr w14:val="tx1"/>
            </w14:solidFill>
          </w14:textFill>
        </w:rPr>
        <w:t>相结合，</w:t>
      </w:r>
      <w:r>
        <w:rPr>
          <w:rFonts w:ascii="仿宋_GB2312" w:hAnsi="Times New Roman" w:eastAsia="仿宋_GB2312" w:cs="仿宋_GB2312"/>
          <w:color w:val="000000" w:themeColor="text1"/>
          <w:sz w:val="32"/>
          <w:szCs w:val="32"/>
          <w:lang w:bidi="ar"/>
          <w14:textFill>
            <w14:solidFill>
              <w14:schemeClr w14:val="tx1"/>
            </w14:solidFill>
          </w14:textFill>
        </w:rPr>
        <w:t>纳入领导干部经济责任审计内容与干部考核体系。</w:t>
      </w:r>
    </w:p>
    <w:p>
      <w:pPr>
        <w:widowControl/>
        <w:spacing w:line="576"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第十</w:t>
      </w:r>
      <w:r>
        <w:rPr>
          <w:rFonts w:hint="eastAsia" w:ascii="黑体" w:hAnsi="黑体" w:eastAsia="黑体" w:cs="黑体"/>
          <w:bCs/>
          <w:color w:val="000000" w:themeColor="text1"/>
          <w:kern w:val="0"/>
          <w:sz w:val="32"/>
          <w:szCs w:val="32"/>
          <w:lang w:val="en-US" w:eastAsia="zh-CN"/>
          <w14:textFill>
            <w14:solidFill>
              <w14:schemeClr w14:val="tx1"/>
            </w14:solidFill>
          </w14:textFill>
        </w:rPr>
        <w:t>七</w:t>
      </w:r>
      <w:r>
        <w:rPr>
          <w:rFonts w:hint="eastAsia" w:ascii="黑体" w:hAnsi="黑体" w:eastAsia="黑体" w:cs="黑体"/>
          <w:bCs/>
          <w:color w:val="000000" w:themeColor="text1"/>
          <w:kern w:val="0"/>
          <w:sz w:val="32"/>
          <w:szCs w:val="32"/>
          <w14:textFill>
            <w14:solidFill>
              <w14:schemeClr w14:val="tx1"/>
            </w14:solidFill>
          </w14:textFill>
        </w:rPr>
        <w:t xml:space="preserve">条 </w:t>
      </w:r>
      <w:r>
        <w:rPr>
          <w:rFonts w:ascii="仿宋_GB2312" w:hAnsi="仿宋_GB2312" w:eastAsia="仿宋_GB2312" w:cs="仿宋_GB2312"/>
          <w:color w:val="000000" w:themeColor="text1"/>
          <w:kern w:val="0"/>
          <w:sz w:val="32"/>
          <w:szCs w:val="32"/>
          <w14:textFill>
            <w14:solidFill>
              <w14:schemeClr w14:val="tx1"/>
            </w14:solidFill>
          </w14:textFill>
        </w:rPr>
        <w:t xml:space="preserve">内部控制评价的有关文件资料、工作底稿和证明材料等应及时归档、妥善保管。 </w:t>
      </w:r>
    </w:p>
    <w:p>
      <w:pPr>
        <w:widowControl/>
        <w:spacing w:line="576"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themeColor="text1"/>
          <w:kern w:val="0"/>
          <w:sz w:val="32"/>
          <w:szCs w:val="32"/>
          <w14:textFill>
            <w14:solidFill>
              <w14:schemeClr w14:val="tx1"/>
            </w14:solidFill>
          </w14:textFill>
        </w:rPr>
        <w:t>第</w:t>
      </w:r>
      <w:r>
        <w:rPr>
          <w:rFonts w:hint="eastAsia" w:ascii="黑体" w:hAnsi="黑体" w:eastAsia="黑体" w:cs="黑体"/>
          <w:bCs/>
          <w:color w:val="000000" w:themeColor="text1"/>
          <w:kern w:val="0"/>
          <w:sz w:val="32"/>
          <w:szCs w:val="32"/>
          <w:lang w:val="en-US" w:eastAsia="zh-CN"/>
          <w14:textFill>
            <w14:solidFill>
              <w14:schemeClr w14:val="tx1"/>
            </w14:solidFill>
          </w14:textFill>
        </w:rPr>
        <w:t>十八</w:t>
      </w:r>
      <w:r>
        <w:rPr>
          <w:rFonts w:hint="eastAsia" w:ascii="黑体" w:hAnsi="黑体" w:eastAsia="黑体" w:cs="黑体"/>
          <w:bCs/>
          <w:color w:val="000000" w:themeColor="text1"/>
          <w:kern w:val="0"/>
          <w:sz w:val="32"/>
          <w:szCs w:val="32"/>
          <w14:textFill>
            <w14:solidFill>
              <w14:schemeClr w14:val="tx1"/>
            </w14:solidFill>
          </w14:textFill>
        </w:rPr>
        <w:t xml:space="preserve">条 </w:t>
      </w:r>
      <w:r>
        <w:rPr>
          <w:rFonts w:hint="eastAsia" w:ascii="仿宋_GB2312" w:hAnsi="仿宋" w:eastAsia="仿宋_GB2312" w:cs="宋体"/>
          <w:color w:val="000000" w:themeColor="text1"/>
          <w:kern w:val="0"/>
          <w:sz w:val="32"/>
          <w:szCs w:val="32"/>
          <w14:textFill>
            <w14:solidFill>
              <w14:schemeClr w14:val="tx1"/>
            </w14:solidFill>
          </w14:textFill>
        </w:rPr>
        <w:t>学校依法接受教育、财政、审计、纪检监察等部门对学校内部控制建立和实施情</w:t>
      </w:r>
      <w:r>
        <w:rPr>
          <w:rFonts w:hint="eastAsia" w:ascii="仿宋_GB2312" w:hAnsi="仿宋" w:eastAsia="仿宋_GB2312" w:cs="宋体"/>
          <w:color w:val="000000"/>
          <w:kern w:val="0"/>
          <w:sz w:val="32"/>
          <w:szCs w:val="32"/>
        </w:rPr>
        <w:t>况进行的监督检查。</w:t>
      </w:r>
      <w:bookmarkStart w:id="1" w:name="_GoBack"/>
      <w:bookmarkEnd w:id="1"/>
    </w:p>
    <w:p>
      <w:pPr>
        <w:pStyle w:val="7"/>
        <w:widowControl/>
        <w:spacing w:beforeAutospacing="0" w:afterAutospacing="0" w:line="576" w:lineRule="exact"/>
        <w:ind w:firstLine="640" w:firstLineChars="200"/>
        <w:jc w:val="both"/>
        <w:textAlignment w:val="baseline"/>
        <w:rPr>
          <w:rFonts w:ascii="仿宋_GB2312" w:hAnsi="Times New Roman" w:eastAsia="仿宋_GB2312" w:cs="仿宋_GB2312"/>
          <w:kern w:val="2"/>
          <w:sz w:val="32"/>
          <w:szCs w:val="32"/>
          <w:lang w:bidi="ar"/>
        </w:rPr>
      </w:pPr>
    </w:p>
    <w:p>
      <w:pPr>
        <w:widowControl/>
        <w:spacing w:line="576" w:lineRule="exact"/>
        <w:jc w:val="center"/>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第七章  附 则</w:t>
      </w:r>
    </w:p>
    <w:p>
      <w:pPr>
        <w:pStyle w:val="7"/>
        <w:widowControl/>
        <w:spacing w:beforeAutospacing="0" w:afterAutospacing="0" w:line="576" w:lineRule="exact"/>
        <w:ind w:firstLine="640" w:firstLineChars="200"/>
        <w:jc w:val="both"/>
        <w:textAlignment w:val="baseline"/>
        <w:rPr>
          <w:color w:val="333333"/>
          <w:sz w:val="21"/>
          <w:szCs w:val="21"/>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val="en-US" w:eastAsia="zh-CN"/>
        </w:rPr>
        <w:t>十九</w:t>
      </w:r>
      <w:r>
        <w:rPr>
          <w:rFonts w:hint="eastAsia" w:ascii="黑体" w:hAnsi="黑体" w:eastAsia="黑体" w:cs="黑体"/>
          <w:bCs/>
          <w:color w:val="000000"/>
          <w:sz w:val="32"/>
          <w:szCs w:val="32"/>
        </w:rPr>
        <w:t>条</w:t>
      </w:r>
      <w:r>
        <w:rPr>
          <w:rFonts w:ascii="Times New Roman" w:hAnsi="Times New Roman" w:eastAsia="仿宋"/>
          <w:bCs/>
          <w:color w:val="333333"/>
          <w:sz w:val="31"/>
          <w:szCs w:val="31"/>
          <w:shd w:val="clear" w:color="auto" w:fill="FFFFFF"/>
        </w:rPr>
        <w:t xml:space="preserve"> </w:t>
      </w:r>
      <w:r>
        <w:rPr>
          <w:rFonts w:hint="eastAsia" w:ascii="仿宋_GB2312" w:hAnsi="仿宋" w:eastAsia="仿宋_GB2312" w:cs="宋体"/>
          <w:color w:val="000000"/>
          <w:sz w:val="32"/>
          <w:szCs w:val="32"/>
        </w:rPr>
        <w:t>本办法由审计处负责解释。</w:t>
      </w:r>
    </w:p>
    <w:p>
      <w:pPr>
        <w:pStyle w:val="7"/>
        <w:widowControl/>
        <w:spacing w:beforeAutospacing="0" w:afterAutospacing="0" w:line="576" w:lineRule="exact"/>
        <w:ind w:firstLine="640" w:firstLineChars="200"/>
        <w:jc w:val="both"/>
        <w:textAlignment w:val="baseline"/>
        <w:rPr>
          <w:rFonts w:ascii="仿宋_GB2312" w:hAnsi="仿宋" w:eastAsia="仿宋_GB2312" w:cs="宋体"/>
          <w:color w:val="000000"/>
          <w:sz w:val="32"/>
          <w:szCs w:val="32"/>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val="en-US" w:eastAsia="zh-CN"/>
        </w:rPr>
        <w:t>二十</w:t>
      </w:r>
      <w:r>
        <w:rPr>
          <w:rFonts w:hint="eastAsia" w:ascii="黑体" w:hAnsi="黑体" w:eastAsia="黑体" w:cs="黑体"/>
          <w:bCs/>
          <w:color w:val="000000"/>
          <w:sz w:val="32"/>
          <w:szCs w:val="32"/>
        </w:rPr>
        <w:t>条</w:t>
      </w:r>
      <w:r>
        <w:rPr>
          <w:rFonts w:ascii="黑体" w:hAnsi="黑体" w:eastAsia="黑体" w:cs="黑体"/>
          <w:b/>
          <w:color w:val="000000"/>
          <w:sz w:val="32"/>
          <w:szCs w:val="32"/>
        </w:rPr>
        <w:t xml:space="preserve"> </w:t>
      </w:r>
      <w:r>
        <w:rPr>
          <w:rFonts w:hint="eastAsia" w:ascii="仿宋_GB2312" w:hAnsi="仿宋_GB2312" w:eastAsia="仿宋_GB2312" w:cs="仿宋_GB2312"/>
          <w:kern w:val="2"/>
          <w:sz w:val="32"/>
          <w:szCs w:val="32"/>
          <w:highlight w:val="none"/>
        </w:rPr>
        <w:t>本办法自印发之日起施行，原《茅台学院内部控制评价与监督实施办法（试行）》(茅院发〔2022〕</w:t>
      </w:r>
      <w:r>
        <w:rPr>
          <w:rFonts w:hint="eastAsia" w:ascii="仿宋_GB2312" w:hAnsi="仿宋_GB2312" w:eastAsia="仿宋_GB2312" w:cs="仿宋_GB2312"/>
          <w:kern w:val="2"/>
          <w:sz w:val="32"/>
          <w:szCs w:val="32"/>
          <w:highlight w:val="none"/>
          <w:lang w:val="en-US" w:eastAsia="zh-CN"/>
        </w:rPr>
        <w:t>107</w:t>
      </w:r>
      <w:r>
        <w:rPr>
          <w:rFonts w:hint="eastAsia" w:ascii="仿宋_GB2312" w:hAnsi="仿宋_GB2312" w:eastAsia="仿宋_GB2312" w:cs="仿宋_GB2312"/>
          <w:kern w:val="2"/>
          <w:sz w:val="32"/>
          <w:szCs w:val="32"/>
          <w:highlight w:val="none"/>
        </w:rPr>
        <w:t>号)同时废止</w:t>
      </w:r>
      <w:r>
        <w:rPr>
          <w:rFonts w:hint="eastAsia" w:ascii="仿宋_GB2312" w:hAnsi="仿宋" w:eastAsia="仿宋_GB2312" w:cs="宋体"/>
          <w:color w:val="000000"/>
          <w:sz w:val="32"/>
          <w:szCs w:val="32"/>
        </w:rPr>
        <w:t>。</w:t>
      </w:r>
    </w:p>
    <w:p>
      <w:pPr>
        <w:pStyle w:val="7"/>
        <w:widowControl/>
        <w:spacing w:beforeAutospacing="0" w:afterAutospacing="0" w:line="576" w:lineRule="exact"/>
        <w:jc w:val="both"/>
        <w:textAlignment w:val="baseline"/>
        <w:rPr>
          <w:rFonts w:ascii="仿宋_GB2312" w:hAnsi="仿宋" w:eastAsia="仿宋_GB2312" w:cs="宋体"/>
          <w:color w:val="000000"/>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cstheme="majorEastAsia"/>
        <w:sz w:val="28"/>
        <w:szCs w:val="28"/>
      </w:rPr>
    </w:pPr>
  </w:p>
  <w:p>
    <w:pPr>
      <w:pStyle w:val="5"/>
      <w:rPr>
        <w:rFonts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2NjM0ODVmNDk0MzE4NjYyNjM0ODUyNDViMDIifQ=="/>
  </w:docVars>
  <w:rsids>
    <w:rsidRoot w:val="00172A27"/>
    <w:rsid w:val="00012972"/>
    <w:rsid w:val="0003759C"/>
    <w:rsid w:val="00067EB0"/>
    <w:rsid w:val="000D6FD0"/>
    <w:rsid w:val="00103A65"/>
    <w:rsid w:val="00105E1E"/>
    <w:rsid w:val="00172A27"/>
    <w:rsid w:val="001745EB"/>
    <w:rsid w:val="001C3E94"/>
    <w:rsid w:val="001D4605"/>
    <w:rsid w:val="001F766F"/>
    <w:rsid w:val="00227434"/>
    <w:rsid w:val="00271600"/>
    <w:rsid w:val="00285E05"/>
    <w:rsid w:val="002A7C4F"/>
    <w:rsid w:val="002E4268"/>
    <w:rsid w:val="00353100"/>
    <w:rsid w:val="00374791"/>
    <w:rsid w:val="003970FB"/>
    <w:rsid w:val="0040607B"/>
    <w:rsid w:val="0042145B"/>
    <w:rsid w:val="004255B6"/>
    <w:rsid w:val="00431803"/>
    <w:rsid w:val="0044412E"/>
    <w:rsid w:val="00482117"/>
    <w:rsid w:val="004B0A36"/>
    <w:rsid w:val="004C6C51"/>
    <w:rsid w:val="004E3A05"/>
    <w:rsid w:val="004F5057"/>
    <w:rsid w:val="005258A0"/>
    <w:rsid w:val="00546A3E"/>
    <w:rsid w:val="00552C12"/>
    <w:rsid w:val="00602682"/>
    <w:rsid w:val="00627C61"/>
    <w:rsid w:val="006755C3"/>
    <w:rsid w:val="00697C53"/>
    <w:rsid w:val="006E7243"/>
    <w:rsid w:val="006F4D49"/>
    <w:rsid w:val="00750502"/>
    <w:rsid w:val="007A0C45"/>
    <w:rsid w:val="007C2758"/>
    <w:rsid w:val="008610D6"/>
    <w:rsid w:val="00866F1E"/>
    <w:rsid w:val="008B6B2E"/>
    <w:rsid w:val="008E7E82"/>
    <w:rsid w:val="008F0D80"/>
    <w:rsid w:val="00907045"/>
    <w:rsid w:val="00957DB9"/>
    <w:rsid w:val="009D3977"/>
    <w:rsid w:val="009E17A4"/>
    <w:rsid w:val="00A6751B"/>
    <w:rsid w:val="00AA0F71"/>
    <w:rsid w:val="00AA703A"/>
    <w:rsid w:val="00B441C9"/>
    <w:rsid w:val="00BB595E"/>
    <w:rsid w:val="00BE7CD0"/>
    <w:rsid w:val="00C3428C"/>
    <w:rsid w:val="00C81033"/>
    <w:rsid w:val="00D44F5D"/>
    <w:rsid w:val="00D66B17"/>
    <w:rsid w:val="00D911F3"/>
    <w:rsid w:val="00DA1160"/>
    <w:rsid w:val="00DA62EF"/>
    <w:rsid w:val="00DD3BEC"/>
    <w:rsid w:val="00DE3CFC"/>
    <w:rsid w:val="00E14127"/>
    <w:rsid w:val="00E26F33"/>
    <w:rsid w:val="00ED2EB0"/>
    <w:rsid w:val="00EF25C7"/>
    <w:rsid w:val="00F07765"/>
    <w:rsid w:val="00F617F6"/>
    <w:rsid w:val="00FB6E14"/>
    <w:rsid w:val="010806C2"/>
    <w:rsid w:val="02AD5F7C"/>
    <w:rsid w:val="047C0980"/>
    <w:rsid w:val="05692381"/>
    <w:rsid w:val="05B43FA6"/>
    <w:rsid w:val="06734B80"/>
    <w:rsid w:val="08A019F1"/>
    <w:rsid w:val="09584049"/>
    <w:rsid w:val="0B3D7D41"/>
    <w:rsid w:val="0B707D5C"/>
    <w:rsid w:val="0D505EA5"/>
    <w:rsid w:val="0F726F36"/>
    <w:rsid w:val="102E00E8"/>
    <w:rsid w:val="10DC16C8"/>
    <w:rsid w:val="125C471A"/>
    <w:rsid w:val="1275632C"/>
    <w:rsid w:val="12CF3E77"/>
    <w:rsid w:val="13A12889"/>
    <w:rsid w:val="13D46DA3"/>
    <w:rsid w:val="13F866C4"/>
    <w:rsid w:val="140D28C3"/>
    <w:rsid w:val="17F43D48"/>
    <w:rsid w:val="190B0C48"/>
    <w:rsid w:val="19725B43"/>
    <w:rsid w:val="1E963E82"/>
    <w:rsid w:val="20E73D0A"/>
    <w:rsid w:val="22113E98"/>
    <w:rsid w:val="224D5449"/>
    <w:rsid w:val="25B53ECE"/>
    <w:rsid w:val="25C44100"/>
    <w:rsid w:val="280B0CEB"/>
    <w:rsid w:val="29DF107D"/>
    <w:rsid w:val="2A4606CD"/>
    <w:rsid w:val="2EAF79B6"/>
    <w:rsid w:val="2FD14541"/>
    <w:rsid w:val="315C0B1F"/>
    <w:rsid w:val="316C26F3"/>
    <w:rsid w:val="31B77767"/>
    <w:rsid w:val="330A34F2"/>
    <w:rsid w:val="33557238"/>
    <w:rsid w:val="339C7DA5"/>
    <w:rsid w:val="38C42251"/>
    <w:rsid w:val="3BBF7497"/>
    <w:rsid w:val="3C721C16"/>
    <w:rsid w:val="3D2E235C"/>
    <w:rsid w:val="3D8421E3"/>
    <w:rsid w:val="3FC17473"/>
    <w:rsid w:val="428B6C96"/>
    <w:rsid w:val="42C77BA0"/>
    <w:rsid w:val="43654E71"/>
    <w:rsid w:val="439B43E5"/>
    <w:rsid w:val="446E52CB"/>
    <w:rsid w:val="4AAA5C63"/>
    <w:rsid w:val="4AB32D6A"/>
    <w:rsid w:val="4C8345F4"/>
    <w:rsid w:val="4DEB5553"/>
    <w:rsid w:val="514D47AF"/>
    <w:rsid w:val="56CD6F50"/>
    <w:rsid w:val="57757B5A"/>
    <w:rsid w:val="59B84900"/>
    <w:rsid w:val="5D0B7F9A"/>
    <w:rsid w:val="5D5532C1"/>
    <w:rsid w:val="60AA5B09"/>
    <w:rsid w:val="61033128"/>
    <w:rsid w:val="61AF12D0"/>
    <w:rsid w:val="63521943"/>
    <w:rsid w:val="640018BF"/>
    <w:rsid w:val="675F5079"/>
    <w:rsid w:val="67DF6AF4"/>
    <w:rsid w:val="683C7020"/>
    <w:rsid w:val="68FA5091"/>
    <w:rsid w:val="6AE60418"/>
    <w:rsid w:val="6D2601A0"/>
    <w:rsid w:val="6FEC0000"/>
    <w:rsid w:val="70473489"/>
    <w:rsid w:val="72A67BBA"/>
    <w:rsid w:val="7364600D"/>
    <w:rsid w:val="73F23556"/>
    <w:rsid w:val="74A4534E"/>
    <w:rsid w:val="74E108D2"/>
    <w:rsid w:val="75C40C40"/>
    <w:rsid w:val="76144DCD"/>
    <w:rsid w:val="793675A6"/>
    <w:rsid w:val="7B474C85"/>
    <w:rsid w:val="7CD75A1C"/>
    <w:rsid w:val="7CF14BD2"/>
    <w:rsid w:val="7DEC38C1"/>
    <w:rsid w:val="7DF52776"/>
    <w:rsid w:val="7EB03A3C"/>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5356</Words>
  <Characters>5361</Characters>
  <Lines>28</Lines>
  <Paragraphs>7</Paragraphs>
  <TotalTime>17</TotalTime>
  <ScaleCrop>false</ScaleCrop>
  <LinksUpToDate>false</LinksUpToDate>
  <CharactersWithSpaces>5468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2021-11-16T02:53:00Z</dcterms:created>
  <dc:creator>china</dc:creator>
  <cp:lastModifiedBy>Cynthia</cp:lastModifiedBy>
  <cp:lastPrinted>2024-11-04T08:56:00Z</cp:lastPrinted>
  <dcterms:modified xsi:type="dcterms:W3CDTF">2024-11-05T09:55:21Z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82D7DB7EA7F34527B58FC4ACF6DDE55A</vt:lpwstr>
  </property>
</Properties>
</file>